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0D3E" w14:textId="61EA7D64" w:rsidR="00B72F45" w:rsidRDefault="00B72F45" w:rsidP="001C2940">
      <w:pPr>
        <w:pStyle w:val="Title"/>
        <w:ind w:left="0"/>
        <w:rPr>
          <w:color w:val="0070C0"/>
          <w:sz w:val="72"/>
          <w:szCs w:val="72"/>
        </w:rPr>
      </w:pPr>
      <w:r w:rsidRPr="0081484D">
        <w:rPr>
          <w:color w:val="0070C0"/>
          <w:sz w:val="72"/>
          <w:szCs w:val="72"/>
        </w:rPr>
        <w:t xml:space="preserve">National </w:t>
      </w:r>
      <w:r>
        <w:rPr>
          <w:color w:val="0070C0"/>
          <w:sz w:val="72"/>
          <w:szCs w:val="72"/>
        </w:rPr>
        <w:t>Engineering Design Standards</w:t>
      </w:r>
    </w:p>
    <w:p w14:paraId="59647A44" w14:textId="77777777" w:rsidR="00AC68FB" w:rsidRDefault="00AC68FB" w:rsidP="00AC68FB">
      <w:pPr>
        <w:rPr>
          <w:lang w:eastAsia="en-GB"/>
        </w:rPr>
      </w:pPr>
    </w:p>
    <w:p w14:paraId="12C64D0E" w14:textId="77777777" w:rsidR="00AC68FB" w:rsidRPr="00AC68FB" w:rsidRDefault="00AC68FB" w:rsidP="00AC68FB">
      <w:pPr>
        <w:rPr>
          <w:lang w:eastAsia="en-GB"/>
        </w:rPr>
      </w:pPr>
    </w:p>
    <w:p w14:paraId="13CA221D" w14:textId="77777777" w:rsidR="00B72F45" w:rsidRDefault="00B72F45" w:rsidP="001C2940">
      <w:pPr>
        <w:pStyle w:val="NTUNonumbers-H1"/>
      </w:pPr>
      <w:bookmarkStart w:id="0" w:name="_Toc138851345"/>
      <w:bookmarkStart w:id="1" w:name="_Toc145948900"/>
      <w:r>
        <w:t>FRONTMATTER</w:t>
      </w:r>
      <w:bookmarkEnd w:id="0"/>
      <w:bookmarkEnd w:id="1"/>
    </w:p>
    <w:p w14:paraId="4C8B772B" w14:textId="30D64B60" w:rsidR="00B72F45" w:rsidRDefault="00B72F45" w:rsidP="001C2940">
      <w:pPr>
        <w:pStyle w:val="NTUNoNumbers-H2"/>
      </w:pPr>
      <w:bookmarkStart w:id="2" w:name="_Toc140852503"/>
      <w:bookmarkStart w:id="3" w:name="_Toc145948901"/>
      <w:bookmarkStart w:id="4" w:name="_Hlk142901649"/>
      <w:r>
        <w:t>FOREWORD</w:t>
      </w:r>
      <w:bookmarkEnd w:id="2"/>
      <w:bookmarkEnd w:id="3"/>
    </w:p>
    <w:p w14:paraId="1D679526" w14:textId="77777777" w:rsidR="00B72F45" w:rsidRPr="004672DA" w:rsidRDefault="00B72F45" w:rsidP="001C2940">
      <w:pPr>
        <w:pStyle w:val="NTUNoNumbers-H3"/>
      </w:pPr>
      <w:bookmarkStart w:id="5" w:name="_Toc140852504"/>
      <w:bookmarkStart w:id="6" w:name="_Toc145948902"/>
      <w:r>
        <w:t xml:space="preserve">National Engineering Design Standards </w:t>
      </w:r>
      <w:r w:rsidRPr="004672DA">
        <w:t>Development</w:t>
      </w:r>
      <w:bookmarkEnd w:id="5"/>
      <w:bookmarkEnd w:id="6"/>
    </w:p>
    <w:p w14:paraId="67CF2188" w14:textId="77777777" w:rsidR="00902F4D" w:rsidRDefault="00902F4D" w:rsidP="001C2940">
      <w:pPr>
        <w:pStyle w:val="NTUnoindentNormal"/>
        <w:rPr>
          <w:color w:val="293171"/>
        </w:rPr>
      </w:pPr>
      <w:bookmarkStart w:id="7" w:name="_Toc140852505"/>
      <w:bookmarkStart w:id="8" w:name="_Toc145948903"/>
      <w:bookmarkEnd w:id="4"/>
      <w:r>
        <w:t xml:space="preserve">Work to develop technical standards for drinking, waste and stormwater reticulation infrastructure has been known as the Code of Practice. This name is now changing to the National Engineering Design Standards (NEDS). </w:t>
      </w:r>
    </w:p>
    <w:p w14:paraId="104659D1" w14:textId="77777777" w:rsidR="00902F4D" w:rsidRDefault="00902F4D" w:rsidP="001C2940">
      <w:pPr>
        <w:pStyle w:val="NTUnoindentNormal"/>
      </w:pPr>
      <w:r w:rsidRPr="00E53060">
        <w:t>Th</w:t>
      </w:r>
      <w:r>
        <w:t>e</w:t>
      </w:r>
      <w:r w:rsidRPr="00E53060">
        <w:t xml:space="preserve"> name National Engineering Design Standards</w:t>
      </w:r>
      <w:r>
        <w:t xml:space="preserve"> </w:t>
      </w:r>
      <w:r w:rsidRPr="00E53060">
        <w:t xml:space="preserve">is more reflective of The Water Services Entities Amendment Bill, which requires Water Services Entities to have a development </w:t>
      </w:r>
      <w:r>
        <w:t>NEDS</w:t>
      </w:r>
      <w:r w:rsidRPr="00E53060">
        <w:t>. A subset of the development code requires entities to ensure they specify applicable engineering design standards to water infrastructure.</w:t>
      </w:r>
      <w:r>
        <w:t xml:space="preserve">  Although the legislation gives this document the title of a standard, it is not a standard from Standards New Zealand, nor is it intended to be in the future.</w:t>
      </w:r>
    </w:p>
    <w:p w14:paraId="75F0609E" w14:textId="77777777" w:rsidR="00902F4D" w:rsidRPr="00E50F9F" w:rsidRDefault="00902F4D" w:rsidP="001C2940">
      <w:pPr>
        <w:pStyle w:val="NTUnoindentNormal"/>
      </w:pPr>
      <w:r w:rsidRPr="00E50F9F">
        <w:t>This document is a</w:t>
      </w:r>
      <w:r>
        <w:t xml:space="preserve"> working draft developed by a Technical Working Group of Council and industry experts working with a steering group and incorporating </w:t>
      </w:r>
      <w:r w:rsidRPr="00E50F9F">
        <w:t xml:space="preserve">sector feedback </w:t>
      </w:r>
      <w:r>
        <w:t xml:space="preserve">provided </w:t>
      </w:r>
      <w:r w:rsidRPr="00E50F9F">
        <w:t xml:space="preserve">through engagement with </w:t>
      </w:r>
      <w:r>
        <w:t>councils and key sector groups</w:t>
      </w:r>
      <w:r w:rsidRPr="00E50F9F">
        <w:t xml:space="preserve"> </w:t>
      </w:r>
      <w:r>
        <w:t>in late-</w:t>
      </w:r>
      <w:r w:rsidRPr="00E50F9F">
        <w:t xml:space="preserve">2023.  </w:t>
      </w:r>
      <w:r>
        <w:t>Standards have been developed for</w:t>
      </w:r>
      <w:r w:rsidRPr="00E50F9F">
        <w:t xml:space="preserve"> Water, Stormwater, Wastewater Gravity, </w:t>
      </w:r>
      <w:r>
        <w:t>and</w:t>
      </w:r>
      <w:r w:rsidRPr="00E50F9F">
        <w:t xml:space="preserve"> Wastewater Pumping</w:t>
      </w:r>
      <w:r>
        <w:t xml:space="preserve"> and are contained comprehensively in this document for ease of reference and implementation</w:t>
      </w:r>
      <w:r w:rsidRPr="00E50F9F">
        <w:t>.</w:t>
      </w:r>
    </w:p>
    <w:p w14:paraId="21B7885C" w14:textId="77777777" w:rsidR="00902F4D" w:rsidRPr="00E50F9F" w:rsidRDefault="00902F4D" w:rsidP="001C2940">
      <w:pPr>
        <w:pStyle w:val="NTUnoindentNormal"/>
      </w:pPr>
      <w:r>
        <w:t>Whilst contained in a single document, the standards</w:t>
      </w:r>
      <w:r w:rsidRPr="00E50F9F">
        <w:t xml:space="preserve"> </w:t>
      </w:r>
      <w:r>
        <w:t xml:space="preserve">for </w:t>
      </w:r>
      <w:r w:rsidRPr="00E50F9F">
        <w:t xml:space="preserve">Water, Stormwater, Wastewater Gravity, </w:t>
      </w:r>
      <w:r>
        <w:t>and</w:t>
      </w:r>
      <w:r w:rsidRPr="00E50F9F">
        <w:t xml:space="preserve"> Wastewater Pumping are at different stages of development and no one </w:t>
      </w:r>
      <w:r>
        <w:t>standard</w:t>
      </w:r>
      <w:r w:rsidRPr="00E50F9F">
        <w:t xml:space="preserve"> represents anything other than </w:t>
      </w:r>
      <w:r>
        <w:t>working drafts for initial engagement</w:t>
      </w:r>
      <w:r w:rsidRPr="00E50F9F">
        <w:t>.</w:t>
      </w:r>
    </w:p>
    <w:p w14:paraId="18F6E7BF" w14:textId="77777777" w:rsidR="00902F4D" w:rsidRPr="00E50F9F" w:rsidRDefault="00902F4D" w:rsidP="001C2940">
      <w:pPr>
        <w:pStyle w:val="NTUnoindentNormal"/>
      </w:pPr>
      <w:r w:rsidRPr="00E50F9F">
        <w:t xml:space="preserve">The Technical Working Group and National Steering Group will consider all feedback received through the engagement of the sector and publish updated </w:t>
      </w:r>
      <w:r>
        <w:t>standards</w:t>
      </w:r>
      <w:r w:rsidRPr="00E50F9F">
        <w:t xml:space="preserve"> for public consultation in early 2024.</w:t>
      </w:r>
    </w:p>
    <w:p w14:paraId="53255850" w14:textId="77777777" w:rsidR="00902F4D" w:rsidRPr="00E50F9F" w:rsidRDefault="00902F4D" w:rsidP="001C2940">
      <w:pPr>
        <w:pStyle w:val="NTUnoindentNormal"/>
      </w:pPr>
      <w:r w:rsidRPr="00E50F9F">
        <w:t xml:space="preserve">Source material has been taken from existing </w:t>
      </w:r>
      <w:r>
        <w:t>standards</w:t>
      </w:r>
      <w:r w:rsidRPr="00E50F9F">
        <w:t xml:space="preserve"> from around the country.</w:t>
      </w:r>
    </w:p>
    <w:p w14:paraId="4EF2C3C1" w14:textId="77777777" w:rsidR="00B72F45" w:rsidRPr="004672DA" w:rsidRDefault="00B72F45" w:rsidP="001C2940">
      <w:pPr>
        <w:pStyle w:val="NTUNoNumbers-H3"/>
      </w:pPr>
      <w:r w:rsidRPr="004672DA">
        <w:t>Acknowledgements</w:t>
      </w:r>
      <w:bookmarkEnd w:id="7"/>
      <w:bookmarkEnd w:id="8"/>
    </w:p>
    <w:p w14:paraId="524CA8CA" w14:textId="7E089604" w:rsidR="00B72F45" w:rsidRDefault="00B72F45" w:rsidP="001C2940">
      <w:pPr>
        <w:pStyle w:val="NTUnoindentNormal"/>
      </w:pPr>
      <w:r w:rsidRPr="00E50F9F">
        <w:t xml:space="preserve">The </w:t>
      </w:r>
      <w:r>
        <w:t>National Transition Unit (</w:t>
      </w:r>
      <w:r w:rsidRPr="00E50F9F">
        <w:t>NTU</w:t>
      </w:r>
      <w:r>
        <w:t xml:space="preserve">), which has been established to execute the </w:t>
      </w:r>
      <w:r w:rsidR="00AC68FB">
        <w:t>G</w:t>
      </w:r>
      <w:r>
        <w:t>overnment’s decisions on Water Services Reform,</w:t>
      </w:r>
      <w:r w:rsidRPr="00E50F9F">
        <w:t xml:space="preserve"> would like to express its appreciation to Councils, other NTU Workstreams and the </w:t>
      </w:r>
      <w:r>
        <w:t xml:space="preserve">wider </w:t>
      </w:r>
      <w:r w:rsidRPr="00E50F9F">
        <w:t>sector for their contributions and feedback received to date. In particular</w:t>
      </w:r>
      <w:r>
        <w:t>,</w:t>
      </w:r>
      <w:r w:rsidRPr="00E50F9F">
        <w:t xml:space="preserve"> the following contributors deserve special mention for their work and commitment to the production of this </w:t>
      </w:r>
      <w:r>
        <w:t xml:space="preserve">working draft of a </w:t>
      </w:r>
      <w:r w:rsidRPr="00E50F9F">
        <w:t xml:space="preserve">National </w:t>
      </w:r>
      <w:r>
        <w:t>Engineering Design Standard for New Zealand</w:t>
      </w:r>
      <w:r w:rsidRPr="00E50F9F">
        <w:t>:</w:t>
      </w:r>
    </w:p>
    <w:tbl>
      <w:tblPr>
        <w:tblStyle w:val="TableGrid2"/>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29"/>
        <w:gridCol w:w="2934"/>
      </w:tblGrid>
      <w:tr w:rsidR="00B72F45" w:rsidRPr="00C7532F" w14:paraId="77F10476" w14:textId="77777777" w:rsidTr="001C2940">
        <w:trPr>
          <w:trHeight w:val="5220"/>
          <w:tblHeader/>
        </w:trPr>
        <w:tc>
          <w:tcPr>
            <w:tcW w:w="5529" w:type="dxa"/>
          </w:tcPr>
          <w:p w14:paraId="61F439E1" w14:textId="3D6FF6FD" w:rsidR="00B72F45" w:rsidRPr="00C7532F" w:rsidRDefault="00F86E84" w:rsidP="00AC68FB">
            <w:pPr>
              <w:pStyle w:val="NTUNoNumbers-H3"/>
              <w:spacing w:before="40" w:after="40"/>
              <w:rPr>
                <w:lang w:val="en-GB"/>
              </w:rPr>
            </w:pPr>
            <w:bookmarkStart w:id="9" w:name="_Toc145948904"/>
            <w:bookmarkStart w:id="10" w:name="_Hlk152924370"/>
            <w:r>
              <w:rPr>
                <w:lang w:val="en-GB"/>
              </w:rPr>
              <w:lastRenderedPageBreak/>
              <w:t xml:space="preserve"> </w:t>
            </w:r>
            <w:r w:rsidR="00B72F45" w:rsidRPr="00C7532F">
              <w:rPr>
                <w:lang w:val="en-GB"/>
              </w:rPr>
              <w:t xml:space="preserve">DIA </w:t>
            </w:r>
            <w:r w:rsidR="00B72F45">
              <w:rPr>
                <w:lang w:val="en-GB"/>
              </w:rPr>
              <w:t xml:space="preserve">Waters Reform </w:t>
            </w:r>
            <w:r w:rsidR="00B72F45" w:rsidRPr="00C7532F">
              <w:rPr>
                <w:lang w:val="en-GB"/>
              </w:rPr>
              <w:t>Team:</w:t>
            </w:r>
            <w:bookmarkEnd w:id="9"/>
            <w:r w:rsidR="00B72F45" w:rsidRPr="00C7532F">
              <w:rPr>
                <w:lang w:val="en-GB"/>
              </w:rPr>
              <w:t xml:space="preserve"> </w:t>
            </w:r>
          </w:p>
          <w:p w14:paraId="715D472D" w14:textId="0B631444" w:rsidR="00B72F45" w:rsidRPr="00C7532F" w:rsidRDefault="00F86E84" w:rsidP="00AC68FB">
            <w:pPr>
              <w:pStyle w:val="NTUnoindentNormal"/>
              <w:spacing w:before="40" w:after="40"/>
            </w:pPr>
            <w:r>
              <w:t xml:space="preserve"> </w:t>
            </w:r>
            <w:r w:rsidR="00B72F45" w:rsidRPr="00C7532F">
              <w:t>Lorrain Kendrick –</w:t>
            </w:r>
            <w:r w:rsidR="00B72F45">
              <w:t xml:space="preserve">Head of Technical </w:t>
            </w:r>
          </w:p>
          <w:p w14:paraId="22806C68" w14:textId="730D2BB3" w:rsidR="00B72F45" w:rsidRPr="00C7532F" w:rsidRDefault="00F86E84" w:rsidP="00AC68FB">
            <w:pPr>
              <w:pStyle w:val="NTUnoindentNormal"/>
              <w:spacing w:before="40" w:after="40"/>
            </w:pPr>
            <w:r>
              <w:t xml:space="preserve"> </w:t>
            </w:r>
            <w:r w:rsidR="00B72F45" w:rsidRPr="00C7532F">
              <w:t>Emily Botje –</w:t>
            </w:r>
            <w:r w:rsidR="00B72F45">
              <w:t>Asset Management Lead and</w:t>
            </w:r>
            <w:r w:rsidR="00B72F45" w:rsidRPr="00C7532F">
              <w:t xml:space="preserve"> Project Sponsor</w:t>
            </w:r>
          </w:p>
          <w:p w14:paraId="33CB8A5A" w14:textId="5B52584E" w:rsidR="00B72F45" w:rsidRPr="00C7532F" w:rsidRDefault="00F86E84" w:rsidP="00AC68FB">
            <w:pPr>
              <w:pStyle w:val="NTUnoindentNormal"/>
              <w:spacing w:before="40" w:after="40"/>
            </w:pPr>
            <w:r>
              <w:t xml:space="preserve"> </w:t>
            </w:r>
            <w:r w:rsidR="00B72F45" w:rsidRPr="00C7532F">
              <w:t>Ian Garside –</w:t>
            </w:r>
            <w:r w:rsidR="00B72F45">
              <w:t xml:space="preserve"> </w:t>
            </w:r>
            <w:r w:rsidR="00B72F45" w:rsidRPr="00C7532F">
              <w:t>Project Manager</w:t>
            </w:r>
            <w:r w:rsidR="00B72F45">
              <w:t xml:space="preserve"> (ProjectMax)</w:t>
            </w:r>
          </w:p>
          <w:p w14:paraId="22877DDB" w14:textId="01127FEE" w:rsidR="00B72F45" w:rsidRPr="00C7532F" w:rsidRDefault="00F86E84" w:rsidP="00AC68FB">
            <w:pPr>
              <w:pStyle w:val="NTUnoindentNormal"/>
              <w:spacing w:before="40" w:after="40"/>
            </w:pPr>
            <w:r>
              <w:t xml:space="preserve"> </w:t>
            </w:r>
            <w:r w:rsidR="00B72F45" w:rsidRPr="00C7532F">
              <w:t xml:space="preserve">Glenda Brighouse –Communications Team  </w:t>
            </w:r>
          </w:p>
          <w:p w14:paraId="42F40842" w14:textId="3DC28DE6" w:rsidR="00B72F45" w:rsidRPr="00C7532F" w:rsidRDefault="00F86E84" w:rsidP="00AC68FB">
            <w:pPr>
              <w:pStyle w:val="NTUnoindentNormal"/>
              <w:spacing w:before="40" w:after="40"/>
            </w:pPr>
            <w:r>
              <w:t xml:space="preserve"> </w:t>
            </w:r>
            <w:r w:rsidR="00B72F45">
              <w:t>Lloyd Quartermaine</w:t>
            </w:r>
            <w:r w:rsidR="00B72F45" w:rsidRPr="00C7532F">
              <w:t xml:space="preserve"> –Communications Team  </w:t>
            </w:r>
          </w:p>
          <w:p w14:paraId="33EB2875" w14:textId="77777777" w:rsidR="00F86E84" w:rsidRDefault="00F86E84" w:rsidP="00AC68FB">
            <w:pPr>
              <w:pStyle w:val="NTUNoNumbers-H3"/>
              <w:spacing w:before="40" w:after="40"/>
              <w:rPr>
                <w:lang w:val="en-GB"/>
              </w:rPr>
            </w:pPr>
            <w:bookmarkStart w:id="11" w:name="_Toc145948905"/>
          </w:p>
          <w:p w14:paraId="26EDB3AE" w14:textId="6BCA927C" w:rsidR="00B72F45" w:rsidRPr="00C7532F" w:rsidRDefault="00F86E84" w:rsidP="00AC68FB">
            <w:pPr>
              <w:pStyle w:val="NTUNoNumbers-H3"/>
              <w:spacing w:before="40" w:after="40"/>
              <w:rPr>
                <w:lang w:val="en-GB"/>
              </w:rPr>
            </w:pPr>
            <w:r>
              <w:rPr>
                <w:lang w:val="en-GB"/>
              </w:rPr>
              <w:t xml:space="preserve"> </w:t>
            </w:r>
            <w:r w:rsidR="00B72F45" w:rsidRPr="00C7532F">
              <w:rPr>
                <w:lang w:val="en-GB"/>
              </w:rPr>
              <w:t>National Steering Group:</w:t>
            </w:r>
            <w:bookmarkEnd w:id="11"/>
          </w:p>
          <w:p w14:paraId="0812DCAD" w14:textId="556293DC" w:rsidR="00B72F45" w:rsidRPr="00C7532F" w:rsidRDefault="00F86E84" w:rsidP="00AC68FB">
            <w:pPr>
              <w:pStyle w:val="NTUnoindentNormal"/>
              <w:spacing w:before="40" w:after="40"/>
            </w:pPr>
            <w:r>
              <w:t xml:space="preserve"> </w:t>
            </w:r>
            <w:r w:rsidR="00B72F45" w:rsidRPr="00C7532F">
              <w:t>Gavin Hutchison, CCC</w:t>
            </w:r>
          </w:p>
          <w:p w14:paraId="56A890BE" w14:textId="41CF3FA8" w:rsidR="00B72F45" w:rsidRPr="00C7532F" w:rsidRDefault="00F86E84" w:rsidP="00AC68FB">
            <w:pPr>
              <w:pStyle w:val="NTUnoindentNormal"/>
              <w:spacing w:before="40" w:after="40"/>
            </w:pPr>
            <w:r>
              <w:t xml:space="preserve"> </w:t>
            </w:r>
            <w:r w:rsidR="00B72F45" w:rsidRPr="00C7532F">
              <w:t>Emily Greenberg, WWL</w:t>
            </w:r>
          </w:p>
          <w:p w14:paraId="1BC5B632" w14:textId="46C9D69D" w:rsidR="00B72F45" w:rsidRPr="00C7532F" w:rsidRDefault="00F86E84" w:rsidP="00AC68FB">
            <w:pPr>
              <w:pStyle w:val="NTUnoindentNormal"/>
              <w:spacing w:before="40" w:after="40"/>
            </w:pPr>
            <w:r>
              <w:t xml:space="preserve"> </w:t>
            </w:r>
            <w:r w:rsidR="00B72F45" w:rsidRPr="00C7532F">
              <w:t>Anin Nama, WSL</w:t>
            </w:r>
          </w:p>
          <w:p w14:paraId="0AEB6898" w14:textId="483B22EC" w:rsidR="00B72F45" w:rsidRPr="00C7532F" w:rsidRDefault="00F86E84" w:rsidP="00AC68FB">
            <w:pPr>
              <w:pStyle w:val="NTUnoindentNormal"/>
              <w:spacing w:before="40" w:after="40"/>
            </w:pPr>
            <w:r>
              <w:t xml:space="preserve"> </w:t>
            </w:r>
            <w:r w:rsidR="00B72F45" w:rsidRPr="00C7532F">
              <w:t xml:space="preserve">Noel Roberts, </w:t>
            </w:r>
            <w:r w:rsidR="00B72F45">
              <w:t>DIA</w:t>
            </w:r>
            <w:r w:rsidR="00B72F45" w:rsidRPr="00C7532F">
              <w:t>/Water NZ</w:t>
            </w:r>
          </w:p>
          <w:p w14:paraId="04184D30" w14:textId="1FB78211" w:rsidR="00B72F45" w:rsidRPr="00C7532F" w:rsidRDefault="00F86E84" w:rsidP="00AC68FB">
            <w:pPr>
              <w:pStyle w:val="NTUnoindentNormal"/>
              <w:spacing w:before="40" w:after="40"/>
            </w:pPr>
            <w:r>
              <w:t xml:space="preserve"> </w:t>
            </w:r>
            <w:r w:rsidR="00B72F45" w:rsidRPr="00C7532F">
              <w:t xml:space="preserve">Julian Williams, Iwi </w:t>
            </w:r>
            <w:r w:rsidR="00B72F45">
              <w:t>Consultant</w:t>
            </w:r>
          </w:p>
          <w:p w14:paraId="3355E63B" w14:textId="5E0580D8" w:rsidR="00B72F45" w:rsidRPr="00C7532F" w:rsidRDefault="00F86E84" w:rsidP="00AC68FB">
            <w:pPr>
              <w:pStyle w:val="NTUnoindentNormal"/>
              <w:spacing w:before="40" w:after="40"/>
            </w:pPr>
            <w:r>
              <w:t xml:space="preserve"> </w:t>
            </w:r>
            <w:r w:rsidR="00B72F45" w:rsidRPr="00C7532F">
              <w:t>Richard Bax, Bax Consulting</w:t>
            </w:r>
          </w:p>
          <w:p w14:paraId="016E3D54" w14:textId="142CC0ED" w:rsidR="00B72F45" w:rsidRPr="00C7532F" w:rsidRDefault="00F86E84" w:rsidP="00AC68FB">
            <w:pPr>
              <w:pStyle w:val="NTUnoindentNormal"/>
              <w:spacing w:before="40" w:after="40"/>
            </w:pPr>
            <w:r>
              <w:t xml:space="preserve"> </w:t>
            </w:r>
            <w:r w:rsidR="00B72F45" w:rsidRPr="00C7532F">
              <w:t>Ulrich Glasner, ACE</w:t>
            </w:r>
          </w:p>
          <w:p w14:paraId="7D337576" w14:textId="13F21180" w:rsidR="00B72F45" w:rsidRPr="00C7532F" w:rsidRDefault="00F86E84" w:rsidP="00AC68FB">
            <w:pPr>
              <w:pStyle w:val="NTUnoindentNormal"/>
              <w:spacing w:before="40" w:after="40"/>
            </w:pPr>
            <w:r>
              <w:t xml:space="preserve"> </w:t>
            </w:r>
            <w:r w:rsidR="00B72F45" w:rsidRPr="00C7532F">
              <w:t>Glenn Broadbent, IPWEA LDEG</w:t>
            </w:r>
          </w:p>
          <w:p w14:paraId="3A2E27AE" w14:textId="48962754" w:rsidR="00B72F45" w:rsidRPr="00C7532F" w:rsidRDefault="00F86E84" w:rsidP="00AC68FB">
            <w:pPr>
              <w:pStyle w:val="NTUnoindentNormal"/>
              <w:spacing w:before="40" w:after="40"/>
            </w:pPr>
            <w:r>
              <w:t xml:space="preserve"> </w:t>
            </w:r>
            <w:r w:rsidR="00B72F45" w:rsidRPr="00C7532F">
              <w:t>Michelle Farrell &amp; Stacy Goldsworthy, CCNZ</w:t>
            </w:r>
          </w:p>
          <w:p w14:paraId="17B50E50" w14:textId="436F9476" w:rsidR="00B72F45" w:rsidRPr="00C7532F" w:rsidRDefault="00F86E84" w:rsidP="00AC68FB">
            <w:pPr>
              <w:pStyle w:val="NTUnoindentNormal"/>
              <w:spacing w:before="40" w:after="40"/>
            </w:pPr>
            <w:r>
              <w:t xml:space="preserve"> </w:t>
            </w:r>
            <w:r w:rsidR="00B72F45" w:rsidRPr="00C7532F">
              <w:t>Steve Jones, HG</w:t>
            </w:r>
          </w:p>
        </w:tc>
        <w:tc>
          <w:tcPr>
            <w:tcW w:w="2934" w:type="dxa"/>
          </w:tcPr>
          <w:p w14:paraId="17F2CD36" w14:textId="77777777" w:rsidR="00B72F45" w:rsidRPr="00C7532F" w:rsidRDefault="00B72F45" w:rsidP="00AC68FB">
            <w:pPr>
              <w:pStyle w:val="NTUNoNumbers-H3"/>
              <w:spacing w:before="40" w:after="40"/>
              <w:rPr>
                <w:lang w:val="en-GB"/>
              </w:rPr>
            </w:pPr>
            <w:bookmarkStart w:id="12" w:name="_Toc145948906"/>
            <w:r w:rsidRPr="00C7532F">
              <w:rPr>
                <w:lang w:val="en-GB"/>
              </w:rPr>
              <w:t>Technical Working Group:</w:t>
            </w:r>
            <w:bookmarkEnd w:id="12"/>
          </w:p>
          <w:p w14:paraId="58B7424B" w14:textId="77777777" w:rsidR="00B72F45" w:rsidRPr="00C7532F" w:rsidRDefault="00B72F45" w:rsidP="00AC68FB">
            <w:pPr>
              <w:pStyle w:val="NTUnoindentNormal"/>
              <w:spacing w:before="40" w:after="40"/>
            </w:pPr>
            <w:r w:rsidRPr="00C7532F">
              <w:t>Evan Vaughters, HCC</w:t>
            </w:r>
          </w:p>
          <w:p w14:paraId="09772180" w14:textId="77777777" w:rsidR="00B72F45" w:rsidRPr="00C7532F" w:rsidRDefault="00B72F45" w:rsidP="00AC68FB">
            <w:pPr>
              <w:pStyle w:val="NTUnoindentNormal"/>
              <w:spacing w:before="40" w:after="40"/>
            </w:pPr>
            <w:r w:rsidRPr="00C7532F">
              <w:t>Alison Thompson, WDC</w:t>
            </w:r>
          </w:p>
          <w:p w14:paraId="3A4CCE58" w14:textId="77777777" w:rsidR="00B72F45" w:rsidRPr="00C7532F" w:rsidRDefault="00B72F45" w:rsidP="00AC68FB">
            <w:pPr>
              <w:pStyle w:val="NTUnoindentNormal"/>
              <w:spacing w:before="40" w:after="40"/>
            </w:pPr>
            <w:r w:rsidRPr="00C7532F">
              <w:t>Chris Stumbles, ACC, HW</w:t>
            </w:r>
          </w:p>
          <w:p w14:paraId="2F94CB34" w14:textId="77777777" w:rsidR="00B72F45" w:rsidRPr="00C7532F" w:rsidRDefault="00B72F45" w:rsidP="00AC68FB">
            <w:pPr>
              <w:pStyle w:val="NTUnoindentNormal"/>
              <w:spacing w:before="40" w:after="40"/>
            </w:pPr>
            <w:r w:rsidRPr="00C7532F">
              <w:t>Eugene Kroukam, HDC</w:t>
            </w:r>
          </w:p>
          <w:p w14:paraId="7A445D6F" w14:textId="77777777" w:rsidR="00B72F45" w:rsidRPr="00C7532F" w:rsidRDefault="00B72F45" w:rsidP="00AC68FB">
            <w:pPr>
              <w:pStyle w:val="NTUnoindentNormal"/>
              <w:spacing w:before="40" w:after="40"/>
            </w:pPr>
            <w:r w:rsidRPr="00C7532F">
              <w:t xml:space="preserve">David Arseneau, TDC </w:t>
            </w:r>
          </w:p>
          <w:p w14:paraId="2BC15978" w14:textId="77777777" w:rsidR="00B72F45" w:rsidRPr="00C7532F" w:rsidRDefault="00B72F45" w:rsidP="00AC68FB">
            <w:pPr>
              <w:pStyle w:val="NTUnoindentNormal"/>
              <w:spacing w:before="40" w:after="40"/>
            </w:pPr>
            <w:r w:rsidRPr="00C7532F">
              <w:t xml:space="preserve">Michael Galambos, CCC </w:t>
            </w:r>
          </w:p>
          <w:p w14:paraId="33922B09" w14:textId="77777777" w:rsidR="00B72F45" w:rsidRPr="00C7532F" w:rsidRDefault="00B72F45" w:rsidP="00AC68FB">
            <w:pPr>
              <w:pStyle w:val="NTUnoindentNormal"/>
              <w:spacing w:before="40" w:after="40"/>
            </w:pPr>
            <w:r w:rsidRPr="00C7532F">
              <w:t>Kelly Nikora, HDC</w:t>
            </w:r>
          </w:p>
          <w:p w14:paraId="0989B4F7" w14:textId="77777777" w:rsidR="00B72F45" w:rsidRPr="00C7532F" w:rsidRDefault="00B72F45" w:rsidP="00AC68FB">
            <w:pPr>
              <w:pStyle w:val="NTUnoindentNormal"/>
              <w:spacing w:before="40" w:after="40"/>
            </w:pPr>
            <w:r w:rsidRPr="00C7532F">
              <w:t>Simon Charles, WDC</w:t>
            </w:r>
          </w:p>
          <w:p w14:paraId="02F02028" w14:textId="77777777" w:rsidR="00B72F45" w:rsidRPr="00C7532F" w:rsidRDefault="00B72F45" w:rsidP="00AC68FB">
            <w:pPr>
              <w:pStyle w:val="NTUnoindentNormal"/>
              <w:spacing w:before="40" w:after="40"/>
            </w:pPr>
            <w:r w:rsidRPr="00C7532F">
              <w:t>Andrew Pascoe, SWDC</w:t>
            </w:r>
          </w:p>
          <w:p w14:paraId="510E4964" w14:textId="77777777" w:rsidR="00B72F45" w:rsidRPr="00C7532F" w:rsidRDefault="00B72F45" w:rsidP="00AC68FB">
            <w:pPr>
              <w:pStyle w:val="NTUnoindentNormal"/>
              <w:spacing w:before="40" w:after="40"/>
            </w:pPr>
            <w:r w:rsidRPr="00C7532F">
              <w:t xml:space="preserve">Zani van der Westhuizen, ADC </w:t>
            </w:r>
          </w:p>
          <w:p w14:paraId="2C225746" w14:textId="2ED29B65" w:rsidR="00B72F45" w:rsidRPr="00C7532F" w:rsidRDefault="00B72F45" w:rsidP="00AC68FB">
            <w:pPr>
              <w:pStyle w:val="NTUnoindentNormal"/>
              <w:spacing w:before="40" w:after="40"/>
            </w:pPr>
            <w:r w:rsidRPr="00C7532F">
              <w:t>Ch</w:t>
            </w:r>
            <w:r w:rsidR="0019151E">
              <w:t>é</w:t>
            </w:r>
            <w:r w:rsidRPr="00C7532F">
              <w:t xml:space="preserve"> Hedges, NPDC</w:t>
            </w:r>
          </w:p>
          <w:p w14:paraId="3C7AF005" w14:textId="77777777" w:rsidR="00B72F45" w:rsidRPr="00C7532F" w:rsidRDefault="00B72F45" w:rsidP="00AC68FB">
            <w:pPr>
              <w:pStyle w:val="NTUnoindentNormal"/>
              <w:spacing w:before="40" w:after="40"/>
            </w:pPr>
            <w:r w:rsidRPr="00C7532F">
              <w:t>Victor Wong, CCC</w:t>
            </w:r>
          </w:p>
          <w:p w14:paraId="5356D69E" w14:textId="77777777" w:rsidR="00B72F45" w:rsidRPr="00C7532F" w:rsidRDefault="00B72F45" w:rsidP="00AC68FB">
            <w:pPr>
              <w:pStyle w:val="NTUnoindentNormal"/>
              <w:spacing w:before="40" w:after="40"/>
            </w:pPr>
            <w:r w:rsidRPr="00C7532F">
              <w:t>Waldo Strydom, WSL</w:t>
            </w:r>
          </w:p>
          <w:p w14:paraId="45744D54" w14:textId="77777777" w:rsidR="00B72F45" w:rsidRPr="00C7532F" w:rsidRDefault="00B72F45" w:rsidP="00AC68FB">
            <w:pPr>
              <w:pStyle w:val="NTUnoindentNormal"/>
              <w:spacing w:before="40" w:after="40"/>
            </w:pPr>
            <w:r w:rsidRPr="00C7532F">
              <w:t>Tony Hale, TDC</w:t>
            </w:r>
          </w:p>
          <w:p w14:paraId="19C778DE" w14:textId="77777777" w:rsidR="00B72F45" w:rsidRPr="00C7532F" w:rsidRDefault="00B72F45" w:rsidP="00AC68FB">
            <w:pPr>
              <w:pStyle w:val="NTUnoindentNormal"/>
              <w:spacing w:before="40" w:after="40"/>
            </w:pPr>
            <w:r w:rsidRPr="00C7532F">
              <w:t>Bodo Hellberg, TCC</w:t>
            </w:r>
          </w:p>
          <w:p w14:paraId="14749EF7" w14:textId="77777777" w:rsidR="00B72F45" w:rsidRPr="00C7532F" w:rsidRDefault="00B72F45" w:rsidP="00AC68FB">
            <w:pPr>
              <w:pStyle w:val="NTUnoindentNormal"/>
              <w:spacing w:before="40" w:after="40"/>
            </w:pPr>
            <w:r w:rsidRPr="00C7532F">
              <w:t>Tim Strang, WWL</w:t>
            </w:r>
          </w:p>
          <w:p w14:paraId="590313B0" w14:textId="77777777" w:rsidR="00B72F45" w:rsidRDefault="00B72F45" w:rsidP="00AC68FB">
            <w:pPr>
              <w:pStyle w:val="NTUnoindentNormal"/>
              <w:spacing w:before="40" w:after="40"/>
            </w:pPr>
            <w:r>
              <w:t>Michael van Tilberg, WDC</w:t>
            </w:r>
          </w:p>
          <w:p w14:paraId="66173C59" w14:textId="77777777" w:rsidR="00B72F45" w:rsidRPr="00C7532F" w:rsidRDefault="00B72F45" w:rsidP="00AC68FB">
            <w:pPr>
              <w:pStyle w:val="NTUnoindentNormal"/>
              <w:spacing w:before="40" w:after="40"/>
            </w:pPr>
            <w:r w:rsidRPr="00C7532F">
              <w:t>Mark Walmsley, HG</w:t>
            </w:r>
          </w:p>
          <w:p w14:paraId="24731460" w14:textId="77777777" w:rsidR="00B72F45" w:rsidRPr="00C7532F" w:rsidRDefault="00B72F45" w:rsidP="00AC68FB">
            <w:pPr>
              <w:pStyle w:val="NTUnoindentNormal"/>
              <w:spacing w:before="40" w:after="40"/>
            </w:pPr>
            <w:r w:rsidRPr="00C7532F">
              <w:t>Sam Sarah, HG</w:t>
            </w:r>
          </w:p>
          <w:p w14:paraId="6DE16BE2" w14:textId="77777777" w:rsidR="00B72F45" w:rsidRDefault="00B72F45" w:rsidP="00AC68FB">
            <w:pPr>
              <w:pStyle w:val="NTUnoindentNormal"/>
              <w:spacing w:before="40" w:after="40"/>
            </w:pPr>
            <w:r w:rsidRPr="00C7532F">
              <w:t>Rob Bouton, HG</w:t>
            </w:r>
          </w:p>
          <w:p w14:paraId="7BF4A21A" w14:textId="77777777" w:rsidR="00B72F45" w:rsidRDefault="00B72F45" w:rsidP="00AC68FB">
            <w:pPr>
              <w:pStyle w:val="NTUnoindentNormal"/>
              <w:spacing w:before="40" w:after="40"/>
            </w:pPr>
            <w:r>
              <w:t>Walter Smith, HG</w:t>
            </w:r>
          </w:p>
          <w:p w14:paraId="72FBB9F3" w14:textId="77777777" w:rsidR="00B72F45" w:rsidRDefault="00B72F45" w:rsidP="00AC68FB">
            <w:pPr>
              <w:pStyle w:val="NTUnoindentNormal"/>
              <w:spacing w:before="40" w:after="40"/>
            </w:pPr>
            <w:r>
              <w:t>Richard Neate, Enodo</w:t>
            </w:r>
          </w:p>
          <w:p w14:paraId="551DF127" w14:textId="77777777" w:rsidR="00B72F45" w:rsidRDefault="00B72F45" w:rsidP="00AC68FB">
            <w:pPr>
              <w:pStyle w:val="NTUnoindentNormal"/>
              <w:spacing w:before="40" w:after="40"/>
            </w:pPr>
            <w:r>
              <w:t>Richie Murray, Neo Consulting</w:t>
            </w:r>
          </w:p>
          <w:p w14:paraId="3E199EE1" w14:textId="78B947C5" w:rsidR="00AC68FB" w:rsidRPr="00C7532F" w:rsidRDefault="00AC68FB" w:rsidP="00AC68FB">
            <w:pPr>
              <w:pStyle w:val="NTUnoindentNormal"/>
              <w:spacing w:before="40" w:after="40"/>
            </w:pPr>
            <w:r>
              <w:t>Nick Carson, Neo Consulting</w:t>
            </w:r>
          </w:p>
        </w:tc>
      </w:tr>
      <w:bookmarkEnd w:id="10"/>
    </w:tbl>
    <w:p w14:paraId="74452431" w14:textId="77777777" w:rsidR="00B72F45" w:rsidRDefault="00B72F45" w:rsidP="00B72F45">
      <w:pPr>
        <w:pStyle w:val="NTUnoindentNormal"/>
      </w:pPr>
    </w:p>
    <w:p w14:paraId="2595542F" w14:textId="77777777" w:rsidR="00B72F45" w:rsidRPr="004672DA" w:rsidRDefault="00B72F45" w:rsidP="001C2940">
      <w:pPr>
        <w:pStyle w:val="NTUNoNumbers-H3"/>
      </w:pPr>
      <w:bookmarkStart w:id="13" w:name="_Toc140852506"/>
      <w:bookmarkStart w:id="14" w:name="_Toc145948907"/>
      <w:r w:rsidRPr="004672DA">
        <w:t xml:space="preserve">Publication </w:t>
      </w:r>
      <w:r w:rsidRPr="00FC1790">
        <w:t>History</w:t>
      </w:r>
      <w:bookmarkEnd w:id="13"/>
      <w:bookmarkEnd w:id="14"/>
    </w:p>
    <w:p w14:paraId="6CCB61A5" w14:textId="77777777" w:rsidR="00B72F45" w:rsidRPr="007160CF" w:rsidRDefault="00B72F45" w:rsidP="001C2940">
      <w:pPr>
        <w:pStyle w:val="NTUnoindentNormal"/>
      </w:pPr>
      <w:r w:rsidRPr="00D270EE">
        <w:t xml:space="preserve">This version is a </w:t>
      </w:r>
      <w:r>
        <w:t xml:space="preserve">working </w:t>
      </w:r>
      <w:r w:rsidRPr="00D270EE">
        <w:t>draft for national sector engagement during 2023.</w:t>
      </w:r>
    </w:p>
    <w:p w14:paraId="18100B12" w14:textId="77777777" w:rsidR="003E6555" w:rsidRPr="004672DA" w:rsidRDefault="003E6555" w:rsidP="001C2940">
      <w:pPr>
        <w:pStyle w:val="NTUNoNumbers-H3"/>
      </w:pPr>
      <w:r w:rsidRPr="004672DA">
        <w:t>Disclaimer</w:t>
      </w:r>
    </w:p>
    <w:p w14:paraId="3A856A56" w14:textId="77777777" w:rsidR="003E6555" w:rsidRPr="007160CF" w:rsidRDefault="003E6555" w:rsidP="001C2940">
      <w:pPr>
        <w:pStyle w:val="NTUnoindentNormal"/>
      </w:pPr>
      <w:r w:rsidRPr="00D270EE">
        <w:t>This</w:t>
      </w:r>
      <w:r>
        <w:t xml:space="preserve"> standard</w:t>
      </w:r>
      <w:r w:rsidRPr="00D270EE">
        <w:t xml:space="preserve"> is issued by the Department of Internal Affairs and individual contributors are not responsible for the results of any action taken on the basis of information in this report, nor any errors or omissions. While every effort has been made to ensure the accuracy of that information, the Department of Internal Affairs does not make any claim, express or implied, regarding it.</w:t>
      </w:r>
    </w:p>
    <w:p w14:paraId="516DD739" w14:textId="4BA82F40" w:rsidR="00B72F45" w:rsidRPr="004672DA" w:rsidRDefault="003E6555" w:rsidP="001C2940">
      <w:pPr>
        <w:pStyle w:val="NTUNoNumbers-H3"/>
      </w:pPr>
      <w:r>
        <w:t>Copyright is held by the Department of Internal Affairs.</w:t>
      </w:r>
    </w:p>
    <w:p w14:paraId="7DE68F47" w14:textId="77777777" w:rsidR="00B72F45" w:rsidRPr="007160CF" w:rsidRDefault="00B72F45" w:rsidP="001C2940">
      <w:pPr>
        <w:pStyle w:val="NTUnoindentNormal"/>
      </w:pPr>
      <w:r w:rsidRPr="00D270EE">
        <w:t>This</w:t>
      </w:r>
      <w:r>
        <w:t xml:space="preserve"> standard</w:t>
      </w:r>
      <w:r w:rsidRPr="00D270EE">
        <w:t xml:space="preserve"> is issued by the Department of Internal Affairs and individual contributors are not responsible for the results of any action taken on the basis of information in this report, nor any errors or omissions. While every effort has been made to ensure the accuracy of that information, the Department of Internal Affairs does not make any claim, express or implied, regarding it.</w:t>
      </w:r>
    </w:p>
    <w:p w14:paraId="372FEAD6" w14:textId="4F7E792D" w:rsidR="00B72F45" w:rsidRPr="00E53060" w:rsidRDefault="00B72F45" w:rsidP="00AC68FB">
      <w:pPr>
        <w:pStyle w:val="NTUnoindentNormal"/>
        <w:ind w:firstLine="720"/>
      </w:pPr>
    </w:p>
    <w:p w14:paraId="4450E3EA" w14:textId="77777777" w:rsidR="00B72F45" w:rsidRPr="00D270EE" w:rsidRDefault="00B72F45" w:rsidP="001C2940">
      <w:pPr>
        <w:pStyle w:val="NTUNonumbers-H1"/>
        <w:rPr>
          <w:lang w:val="en-US" w:eastAsia="en-US"/>
        </w:rPr>
      </w:pPr>
      <w:bookmarkStart w:id="15" w:name="_Toc140852526"/>
      <w:bookmarkStart w:id="16" w:name="_Toc145948910"/>
      <w:r w:rsidRPr="00D270EE">
        <w:rPr>
          <w:lang w:val="en-US" w:eastAsia="en-US"/>
        </w:rPr>
        <w:lastRenderedPageBreak/>
        <w:t>INTRODUCTION</w:t>
      </w:r>
      <w:bookmarkEnd w:id="15"/>
      <w:bookmarkEnd w:id="16"/>
    </w:p>
    <w:p w14:paraId="6E446F7B" w14:textId="77777777" w:rsidR="00B72F45" w:rsidRPr="004672DA" w:rsidRDefault="00B72F45" w:rsidP="001C2940">
      <w:pPr>
        <w:pStyle w:val="NTUNoNumbers-H3"/>
      </w:pPr>
      <w:bookmarkStart w:id="17" w:name="_Toc145948911"/>
      <w:bookmarkStart w:id="18" w:name="_Toc140852527"/>
      <w:r w:rsidRPr="004672DA">
        <w:t xml:space="preserve">The Need for a National </w:t>
      </w:r>
      <w:r>
        <w:t>Engineering Design Standard</w:t>
      </w:r>
      <w:bookmarkEnd w:id="17"/>
    </w:p>
    <w:p w14:paraId="5275BBF7" w14:textId="129DCF3B" w:rsidR="00B72F45" w:rsidRPr="00E50F9F" w:rsidRDefault="00B72F45" w:rsidP="001C2940">
      <w:pPr>
        <w:pStyle w:val="NTUnoindentNormal"/>
        <w:rPr>
          <w:lang w:val="en-US"/>
        </w:rPr>
      </w:pPr>
      <w:r w:rsidRPr="00E50F9F">
        <w:t>At the time of writing (</w:t>
      </w:r>
      <w:r w:rsidR="00A76558">
        <w:t>December</w:t>
      </w:r>
      <w:r w:rsidRPr="00E50F9F">
        <w:t xml:space="preserve"> 2023) there are 45 different </w:t>
      </w:r>
      <w:r>
        <w:t>standards</w:t>
      </w:r>
      <w:r w:rsidRPr="00E50F9F">
        <w:t xml:space="preserve"> in New Zealand providing information on how to design and construct three waters network infrastructure. The sector has been calling for a national</w:t>
      </w:r>
      <w:r>
        <w:t xml:space="preserve"> water</w:t>
      </w:r>
      <w:r w:rsidRPr="00E50F9F">
        <w:t xml:space="preserve"> </w:t>
      </w:r>
      <w:r>
        <w:t>standard</w:t>
      </w:r>
      <w:r w:rsidRPr="00E50F9F">
        <w:t xml:space="preserve"> for years. Having numerous different </w:t>
      </w:r>
      <w:r>
        <w:t>standards</w:t>
      </w:r>
      <w:r w:rsidRPr="00E50F9F">
        <w:t xml:space="preserve"> is an ongoing frustration for many and does</w:t>
      </w:r>
      <w:r>
        <w:t xml:space="preserve"> not</w:t>
      </w:r>
      <w:r w:rsidRPr="00E50F9F">
        <w:t xml:space="preserve"> support an efficient sector. </w:t>
      </w:r>
    </w:p>
    <w:p w14:paraId="1410B1BF" w14:textId="36A7EE94" w:rsidR="00B72F45" w:rsidRPr="00E50F9F" w:rsidRDefault="00B72F45" w:rsidP="001C2940">
      <w:pPr>
        <w:pStyle w:val="NTUnoindentNormal"/>
        <w:rPr>
          <w:lang w:val="en-US"/>
        </w:rPr>
      </w:pPr>
      <w:r w:rsidRPr="00E50F9F">
        <w:t>Th</w:t>
      </w:r>
      <w:r>
        <w:t>e</w:t>
      </w:r>
      <w:r w:rsidRPr="00E50F9F">
        <w:t xml:space="preserve"> </w:t>
      </w:r>
      <w:r>
        <w:t xml:space="preserve">NEDS </w:t>
      </w:r>
      <w:r w:rsidR="00A76558">
        <w:t xml:space="preserve">for </w:t>
      </w:r>
      <w:r w:rsidR="00A76558" w:rsidRPr="00E50F9F">
        <w:t xml:space="preserve">Water, Stormwater, Wastewater Gravity, </w:t>
      </w:r>
      <w:r w:rsidR="00A76558">
        <w:t>and</w:t>
      </w:r>
      <w:r w:rsidR="00A76558" w:rsidRPr="00E50F9F">
        <w:t xml:space="preserve"> Wastewater Pumping</w:t>
      </w:r>
      <w:r w:rsidR="00A76558">
        <w:t xml:space="preserve"> </w:t>
      </w:r>
      <w:r>
        <w:t>are</w:t>
      </w:r>
      <w:r w:rsidRPr="00E50F9F">
        <w:t xml:space="preserve"> being developed to provide the sector with one clear and consistent technical National Three Waters </w:t>
      </w:r>
      <w:r>
        <w:t xml:space="preserve">standard </w:t>
      </w:r>
      <w:r w:rsidRPr="00E50F9F">
        <w:t>for reticulation assets.</w:t>
      </w:r>
      <w:r w:rsidR="00A76558">
        <w:t xml:space="preserve"> </w:t>
      </w:r>
      <w:r w:rsidRPr="00E50F9F">
        <w:t>The opportunity has been taken to embed the key principles</w:t>
      </w:r>
      <w:r>
        <w:t xml:space="preserve"> of</w:t>
      </w:r>
      <w:r w:rsidRPr="00E50F9F">
        <w:t xml:space="preserve"> Te Mana o te Wai and Te Tiriti o Waitangi into the new </w:t>
      </w:r>
      <w:r>
        <w:t>NEDS</w:t>
      </w:r>
      <w:r w:rsidRPr="00E50F9F">
        <w:t>.</w:t>
      </w:r>
    </w:p>
    <w:p w14:paraId="5F7F9D03" w14:textId="5F92AE87" w:rsidR="00B72F45" w:rsidRPr="00E50F9F" w:rsidRDefault="00B72F45" w:rsidP="001C2940">
      <w:pPr>
        <w:pStyle w:val="NTUnoindentNormal"/>
        <w:rPr>
          <w:lang w:val="en-US"/>
        </w:rPr>
      </w:pPr>
      <w:r w:rsidRPr="00E50F9F">
        <w:t xml:space="preserve">The initial </w:t>
      </w:r>
      <w:r>
        <w:t>NEDS,</w:t>
      </w:r>
      <w:r w:rsidRPr="00E50F9F">
        <w:t xml:space="preserve"> which is due to be published in 2024, is essentially a ‘lift and shift’, </w:t>
      </w:r>
      <w:r>
        <w:t xml:space="preserve">of </w:t>
      </w:r>
      <w:r w:rsidRPr="00E50F9F">
        <w:t xml:space="preserve">the best of the current 45 </w:t>
      </w:r>
      <w:r>
        <w:t>standards</w:t>
      </w:r>
      <w:r w:rsidRPr="00E50F9F">
        <w:t xml:space="preserve"> to create a new consistent national </w:t>
      </w:r>
      <w:r w:rsidR="00A76558">
        <w:t xml:space="preserve">standards </w:t>
      </w:r>
      <w:r>
        <w:t>document</w:t>
      </w:r>
      <w:r w:rsidRPr="00E50F9F">
        <w:t xml:space="preserve">, which also recognises the need for </w:t>
      </w:r>
      <w:r>
        <w:t>specific</w:t>
      </w:r>
      <w:r w:rsidRPr="00E50F9F">
        <w:t xml:space="preserve"> technical requirements linked with natural hazards in different regions.</w:t>
      </w:r>
    </w:p>
    <w:p w14:paraId="3DB777DF" w14:textId="77777777" w:rsidR="00B72F45" w:rsidRPr="004672DA" w:rsidRDefault="00B72F45" w:rsidP="001C2940">
      <w:pPr>
        <w:pStyle w:val="NTUNoNumbers-H3"/>
      </w:pPr>
      <w:bookmarkStart w:id="19" w:name="_Toc145948912"/>
      <w:r w:rsidRPr="004672DA">
        <w:t xml:space="preserve">The Benefits of National </w:t>
      </w:r>
      <w:r>
        <w:t>Engineering Design Standards</w:t>
      </w:r>
      <w:bookmarkEnd w:id="19"/>
    </w:p>
    <w:p w14:paraId="427E828C" w14:textId="77777777" w:rsidR="00B72F45" w:rsidRDefault="00B72F45" w:rsidP="001C2940">
      <w:pPr>
        <w:pStyle w:val="NTUnoindentNormal"/>
      </w:pPr>
      <w:r w:rsidRPr="00E50F9F">
        <w:t xml:space="preserve">New Zealand’s Councils and a handful of CCOs have developed and enforced their own </w:t>
      </w:r>
      <w:r>
        <w:t xml:space="preserve">standards, including </w:t>
      </w:r>
      <w:r w:rsidRPr="00ED3257">
        <w:t>standards for</w:t>
      </w:r>
      <w:r w:rsidRPr="00E50F9F">
        <w:t xml:space="preserve"> design, construction, materials, and products. The wide variety of requirements for reticulation networks has created small, fragmented markets, and hindered the mobility of suppliers, </w:t>
      </w:r>
      <w:r>
        <w:t xml:space="preserve">potentially </w:t>
      </w:r>
      <w:r w:rsidRPr="00E50F9F">
        <w:t>leading to higher costs than necessary.</w:t>
      </w:r>
    </w:p>
    <w:p w14:paraId="0A631B37" w14:textId="55B7ED44" w:rsidR="00B72F45" w:rsidRPr="00665933" w:rsidRDefault="001C2940" w:rsidP="001C2940">
      <w:pPr>
        <w:pStyle w:val="NTUnoindentNormal"/>
      </w:pPr>
      <w:r>
        <w:t>T</w:t>
      </w:r>
      <w:r w:rsidR="00B72F45" w:rsidRPr="00665933">
        <w:t xml:space="preserve">he new </w:t>
      </w:r>
      <w:r w:rsidR="00B65F61">
        <w:t>NEDS</w:t>
      </w:r>
      <w:r w:rsidR="00B72F45" w:rsidRPr="00665933">
        <w:t xml:space="preserve"> provide regulatory engineers, design engineers, developers</w:t>
      </w:r>
      <w:r w:rsidR="00B65F61">
        <w:t xml:space="preserve"> and</w:t>
      </w:r>
      <w:r w:rsidR="00B72F45" w:rsidRPr="00665933">
        <w:t xml:space="preserve"> contractors with one set of engineering design standards common across </w:t>
      </w:r>
      <w:r w:rsidR="00B72F45">
        <w:t xml:space="preserve">New Zealand </w:t>
      </w:r>
      <w:r w:rsidR="00B72F45" w:rsidRPr="00665933">
        <w:t>creat</w:t>
      </w:r>
      <w:r w:rsidR="00B72F45">
        <w:t>ing</w:t>
      </w:r>
      <w:r w:rsidR="00B72F45" w:rsidRPr="00665933">
        <w:t xml:space="preserve"> the following opportunities and benefits to the industry: </w:t>
      </w:r>
    </w:p>
    <w:p w14:paraId="1717C51B" w14:textId="77777777" w:rsidR="00B72F45" w:rsidRPr="003363DE" w:rsidRDefault="00B72F45" w:rsidP="001C2940">
      <w:pPr>
        <w:pStyle w:val="NTUanumberingindent1"/>
        <w:numPr>
          <w:ilvl w:val="0"/>
          <w:numId w:val="13"/>
        </w:numPr>
        <w:ind w:left="964"/>
      </w:pPr>
      <w:r w:rsidRPr="003363DE">
        <w:t>More efficient sector from design, approval, procurement,</w:t>
      </w:r>
      <w:r w:rsidRPr="00BF61C5">
        <w:t xml:space="preserve"> </w:t>
      </w:r>
      <w:r w:rsidRPr="003363DE">
        <w:t>construction to maintenance and renewal. </w:t>
      </w:r>
    </w:p>
    <w:p w14:paraId="05F15229" w14:textId="77777777" w:rsidR="00B72F45" w:rsidRPr="003363DE" w:rsidRDefault="00B72F45" w:rsidP="001C2940">
      <w:pPr>
        <w:pStyle w:val="NTUanumberingindent1"/>
        <w:numPr>
          <w:ilvl w:val="0"/>
          <w:numId w:val="13"/>
        </w:numPr>
        <w:ind w:left="964"/>
      </w:pPr>
      <w:r w:rsidRPr="003363DE">
        <w:t>The entities will be able to use the standards for construction and renewal contracts. </w:t>
      </w:r>
    </w:p>
    <w:p w14:paraId="15E9AEF6" w14:textId="77777777" w:rsidR="00B72F45" w:rsidRPr="003363DE" w:rsidRDefault="00B72F45" w:rsidP="001C2940">
      <w:pPr>
        <w:pStyle w:val="NTUanumberingindent1"/>
        <w:numPr>
          <w:ilvl w:val="0"/>
          <w:numId w:val="13"/>
        </w:numPr>
        <w:ind w:left="964"/>
      </w:pPr>
      <w:r w:rsidRPr="003363DE">
        <w:t>Begin to embed Te Mana o te Wai principles in our sector. </w:t>
      </w:r>
    </w:p>
    <w:p w14:paraId="40E9D275" w14:textId="77777777" w:rsidR="00B72F45" w:rsidRPr="003363DE" w:rsidRDefault="00B72F45" w:rsidP="001C2940">
      <w:pPr>
        <w:pStyle w:val="NTUanumberingindent1"/>
        <w:numPr>
          <w:ilvl w:val="0"/>
          <w:numId w:val="13"/>
        </w:numPr>
        <w:ind w:left="964"/>
      </w:pPr>
      <w:r w:rsidRPr="0043496E">
        <w:t>Provide a common technical reference for the development of industry training and skills. accreditation programs for private sector suppliers. </w:t>
      </w:r>
    </w:p>
    <w:p w14:paraId="653BAA18" w14:textId="400B536F" w:rsidR="00B72F45" w:rsidRDefault="00B72F45" w:rsidP="001C2940">
      <w:pPr>
        <w:pStyle w:val="NTUnoindentNormal"/>
      </w:pPr>
      <w:r w:rsidRPr="00E50F9F">
        <w:t xml:space="preserve">The </w:t>
      </w:r>
      <w:r>
        <w:t>NEDS</w:t>
      </w:r>
      <w:r w:rsidRPr="00E50F9F">
        <w:t xml:space="preserve"> are presented in "performance based" terms together with "deemed-to-comply" solutions. Alternative solutions may be accepted provided it can be demonstrated that they meet or exceed the performance requirements.</w:t>
      </w:r>
    </w:p>
    <w:p w14:paraId="3CF94185" w14:textId="77777777" w:rsidR="00B72F45" w:rsidRPr="004672DA" w:rsidRDefault="00B72F45" w:rsidP="001C2940">
      <w:pPr>
        <w:pStyle w:val="NTUNoNumbers-H3"/>
      </w:pPr>
      <w:bookmarkStart w:id="20" w:name="_Toc145948913"/>
      <w:r>
        <w:t>Purpose</w:t>
      </w:r>
      <w:bookmarkEnd w:id="20"/>
      <w:r>
        <w:t xml:space="preserve"> </w:t>
      </w:r>
    </w:p>
    <w:p w14:paraId="41536D3F" w14:textId="6D76095B" w:rsidR="00B72F45" w:rsidRPr="008B1742" w:rsidRDefault="00B72F45" w:rsidP="001C2940">
      <w:pPr>
        <w:pStyle w:val="NTUnoindentNormal"/>
      </w:pPr>
      <w:r w:rsidRPr="0072639A">
        <w:t xml:space="preserve">The primary purpose of the </w:t>
      </w:r>
      <w:r w:rsidRPr="00BF61C5">
        <w:t>NEDS</w:t>
      </w:r>
      <w:r w:rsidRPr="0072639A">
        <w:t xml:space="preserve"> is to document technical best practice for design and construction of</w:t>
      </w:r>
      <w:r w:rsidR="001C2940" w:rsidRPr="001C2940">
        <w:t xml:space="preserve"> </w:t>
      </w:r>
      <w:r w:rsidR="001C2940" w:rsidRPr="00E50F9F">
        <w:t xml:space="preserve">Water, Stormwater, Wastewater Gravity, </w:t>
      </w:r>
      <w:r w:rsidR="001C2940">
        <w:t>and</w:t>
      </w:r>
      <w:r w:rsidR="001C2940" w:rsidRPr="00E50F9F">
        <w:t xml:space="preserve"> Wastewater Pumping</w:t>
      </w:r>
      <w:r w:rsidRPr="0072639A">
        <w:t xml:space="preserve"> </w:t>
      </w:r>
      <w:r w:rsidRPr="00BF61C5">
        <w:t>infrastructure reticulation</w:t>
      </w:r>
      <w:r w:rsidRPr="0072639A">
        <w:t>.</w:t>
      </w:r>
      <w:r w:rsidRPr="008B1742">
        <w:t xml:space="preserve"> The </w:t>
      </w:r>
      <w:r>
        <w:t>standard</w:t>
      </w:r>
      <w:r w:rsidR="001C2940">
        <w:t>s</w:t>
      </w:r>
      <w:r w:rsidRPr="008B1742">
        <w:t xml:space="preserve"> </w:t>
      </w:r>
      <w:r w:rsidR="001C2940">
        <w:t>are</w:t>
      </w:r>
      <w:r w:rsidRPr="008B1742">
        <w:t xml:space="preserve"> an element of the overall asset management framework </w:t>
      </w:r>
      <w:r>
        <w:t xml:space="preserve">and development code </w:t>
      </w:r>
      <w:r w:rsidRPr="008B1742">
        <w:t xml:space="preserve">that the </w:t>
      </w:r>
      <w:r>
        <w:t>entities</w:t>
      </w:r>
      <w:r w:rsidRPr="008B1742">
        <w:t xml:space="preserve"> will </w:t>
      </w:r>
      <w:r>
        <w:t>develop</w:t>
      </w:r>
      <w:r w:rsidRPr="008B1742">
        <w:t xml:space="preserve"> to transform the industry over the next few years.  </w:t>
      </w:r>
    </w:p>
    <w:p w14:paraId="3892F33D" w14:textId="19C48597" w:rsidR="00B72F45" w:rsidRPr="008B1742" w:rsidRDefault="00B72F45" w:rsidP="001C2940">
      <w:pPr>
        <w:pStyle w:val="NTUnoindentNormal"/>
      </w:pPr>
      <w:r w:rsidRPr="008B1742">
        <w:t xml:space="preserve">The </w:t>
      </w:r>
      <w:r>
        <w:t>standard</w:t>
      </w:r>
      <w:r w:rsidR="001C2940">
        <w:t>s are</w:t>
      </w:r>
      <w:r w:rsidRPr="008B1742">
        <w:t xml:space="preserve"> intended for </w:t>
      </w:r>
      <w:r>
        <w:t>developers, p</w:t>
      </w:r>
      <w:r w:rsidRPr="008B1742">
        <w:t xml:space="preserve">lanners, </w:t>
      </w:r>
      <w:r>
        <w:t>d</w:t>
      </w:r>
      <w:r w:rsidRPr="008B1742">
        <w:t xml:space="preserve">esigners and </w:t>
      </w:r>
      <w:r>
        <w:t>c</w:t>
      </w:r>
      <w:r w:rsidRPr="008B1742">
        <w:t>ontr</w:t>
      </w:r>
      <w:r>
        <w:t>a</w:t>
      </w:r>
      <w:r w:rsidRPr="008B1742">
        <w:t xml:space="preserve">ctors servicing the land development industry and for </w:t>
      </w:r>
      <w:r>
        <w:t xml:space="preserve">works procured directly by the entity. </w:t>
      </w:r>
    </w:p>
    <w:p w14:paraId="788A2D78" w14:textId="522D9A12" w:rsidR="00B72F45" w:rsidRPr="008B1742" w:rsidRDefault="00B72F45" w:rsidP="001C2940">
      <w:pPr>
        <w:pStyle w:val="NTUnoindentNormal"/>
      </w:pPr>
      <w:r w:rsidRPr="008B1742">
        <w:t xml:space="preserve">The </w:t>
      </w:r>
      <w:r>
        <w:t>standard</w:t>
      </w:r>
      <w:r w:rsidR="001C2940">
        <w:t>s</w:t>
      </w:r>
      <w:r w:rsidRPr="008B1742">
        <w:t xml:space="preserve"> do not provide administrative or process guidance that is specific to </w:t>
      </w:r>
      <w:r>
        <w:t>each entity</w:t>
      </w:r>
      <w:r w:rsidRPr="008B1742">
        <w:t>,</w:t>
      </w:r>
      <w:r>
        <w:t xml:space="preserve"> this will be included in the development code.</w:t>
      </w:r>
      <w:r w:rsidRPr="008B1742">
        <w:t xml:space="preserve"> </w:t>
      </w:r>
    </w:p>
    <w:p w14:paraId="1B53AA7B" w14:textId="77777777" w:rsidR="00AD719C" w:rsidRDefault="00AD719C" w:rsidP="00AD719C">
      <w:pPr>
        <w:pStyle w:val="NTUnoindentNormal"/>
      </w:pPr>
      <w:r w:rsidRPr="00AE2B99">
        <w:lastRenderedPageBreak/>
        <w:t>Approved products and materials are excluded from this version of the NEDS. It is proposed that the</w:t>
      </w:r>
      <w:r>
        <w:t xml:space="preserve"> entities</w:t>
      </w:r>
      <w:r w:rsidRPr="00AE2B99">
        <w:t xml:space="preserve"> will adopt </w:t>
      </w:r>
      <w:r>
        <w:t>the</w:t>
      </w:r>
      <w:r w:rsidRPr="00AE2B99">
        <w:t xml:space="preserve"> approved products and materials and apply them to their current geographical boundaries until such time they are updated.</w:t>
      </w:r>
    </w:p>
    <w:p w14:paraId="73BFE954" w14:textId="77777777" w:rsidR="00AD719C" w:rsidRDefault="00AD719C" w:rsidP="00AD719C">
      <w:pPr>
        <w:pStyle w:val="NTUnoindentNormal"/>
      </w:pPr>
      <w:r>
        <w:t>The methods to which the entities will adopt and apply the NEDS will be as per the Entities development code.</w:t>
      </w:r>
    </w:p>
    <w:p w14:paraId="67FF4B47" w14:textId="3A7C9635" w:rsidR="00B72F45" w:rsidRPr="008B1742" w:rsidRDefault="00B72F45" w:rsidP="00363C49">
      <w:pPr>
        <w:pStyle w:val="NTUanumberingindent1"/>
      </w:pPr>
      <w:r w:rsidRPr="008B1742">
        <w:t xml:space="preserve">The </w:t>
      </w:r>
      <w:r>
        <w:t>NEDS</w:t>
      </w:r>
      <w:r w:rsidRPr="008B1742">
        <w:t xml:space="preserve"> ensure that:</w:t>
      </w:r>
    </w:p>
    <w:p w14:paraId="54E07D2B" w14:textId="656432D0" w:rsidR="00F66481" w:rsidRDefault="00B72F45" w:rsidP="00F66481">
      <w:pPr>
        <w:pStyle w:val="NTUanumberingindent1"/>
        <w:numPr>
          <w:ilvl w:val="0"/>
          <w:numId w:val="27"/>
        </w:numPr>
        <w:ind w:left="964"/>
      </w:pPr>
      <w:r w:rsidRPr="00AE2B99">
        <w:t xml:space="preserve">Public infrastructure is fit-for-purpose, resilient and complies with all relevant legislative requirements. </w:t>
      </w:r>
    </w:p>
    <w:p w14:paraId="0A2E34EF" w14:textId="204D69CC" w:rsidR="00B72F45" w:rsidRPr="00AE2B99" w:rsidRDefault="00B72F45" w:rsidP="00F66481">
      <w:pPr>
        <w:pStyle w:val="NTUanumberingindent1"/>
        <w:numPr>
          <w:ilvl w:val="0"/>
          <w:numId w:val="13"/>
        </w:numPr>
        <w:ind w:left="964"/>
      </w:pPr>
      <w:r w:rsidRPr="00AE2B99">
        <w:t xml:space="preserve">Entities can fulfil their statutory obligations. </w:t>
      </w:r>
    </w:p>
    <w:p w14:paraId="29B179D6" w14:textId="6983D84D" w:rsidR="00B72F45" w:rsidRPr="004672DA" w:rsidRDefault="00B72F45" w:rsidP="00F66481">
      <w:pPr>
        <w:pStyle w:val="NTUNoNumbers-H3"/>
      </w:pPr>
      <w:bookmarkStart w:id="21" w:name="_Toc145948914"/>
      <w:r w:rsidRPr="004672DA">
        <w:t>Scope</w:t>
      </w:r>
      <w:bookmarkEnd w:id="21"/>
      <w:r>
        <w:t xml:space="preserve"> </w:t>
      </w:r>
    </w:p>
    <w:p w14:paraId="01CBEB58" w14:textId="510C8CCD" w:rsidR="0091198D" w:rsidRDefault="00B72F45" w:rsidP="00F66481">
      <w:pPr>
        <w:pStyle w:val="NTUnoindentNormal"/>
      </w:pPr>
      <w:r w:rsidRPr="00A27DD7">
        <w:t>This NEDS focu</w:t>
      </w:r>
      <w:r w:rsidR="0091198D">
        <w:t>s</w:t>
      </w:r>
      <w:r w:rsidRPr="00A27DD7">
        <w:t>es on technical requirements for the planning, design, construction, and handover of</w:t>
      </w:r>
      <w:r w:rsidR="0091198D">
        <w:t>:</w:t>
      </w:r>
    </w:p>
    <w:p w14:paraId="0EA1CE34" w14:textId="5BA2A761" w:rsidR="0091198D" w:rsidRPr="00A27DD7" w:rsidRDefault="0091198D" w:rsidP="0091198D">
      <w:pPr>
        <w:pStyle w:val="NTUanumberingindent1"/>
        <w:numPr>
          <w:ilvl w:val="0"/>
          <w:numId w:val="32"/>
        </w:numPr>
        <w:ind w:left="964"/>
      </w:pPr>
      <w:r w:rsidRPr="00A27DD7">
        <w:t xml:space="preserve">Gravity </w:t>
      </w:r>
      <w:r>
        <w:t>w</w:t>
      </w:r>
      <w:r w:rsidRPr="00A27DD7">
        <w:t>astew</w:t>
      </w:r>
      <w:r>
        <w:t>a</w:t>
      </w:r>
      <w:r w:rsidRPr="00A27DD7">
        <w:t xml:space="preserve">ter reticulation infrastructure.  </w:t>
      </w:r>
    </w:p>
    <w:p w14:paraId="0D78CA0D" w14:textId="1FFFB038" w:rsidR="0091198D" w:rsidRPr="00B40418" w:rsidRDefault="0091198D" w:rsidP="0091198D">
      <w:pPr>
        <w:pStyle w:val="NTUanumberingindent1"/>
        <w:numPr>
          <w:ilvl w:val="0"/>
          <w:numId w:val="32"/>
        </w:numPr>
        <w:ind w:left="964"/>
      </w:pPr>
      <w:r>
        <w:t>S</w:t>
      </w:r>
      <w:r w:rsidRPr="00B40418">
        <w:t xml:space="preserve">tormwater reticulation infrastructure.  </w:t>
      </w:r>
    </w:p>
    <w:p w14:paraId="15A9A2E7" w14:textId="2315D543" w:rsidR="0091198D" w:rsidRDefault="0091198D" w:rsidP="0091198D">
      <w:pPr>
        <w:pStyle w:val="NTUanumberingindent1"/>
        <w:numPr>
          <w:ilvl w:val="0"/>
          <w:numId w:val="32"/>
        </w:numPr>
        <w:ind w:left="964"/>
      </w:pPr>
      <w:r>
        <w:t>W</w:t>
      </w:r>
      <w:r w:rsidRPr="001A3AD6">
        <w:t xml:space="preserve">astewater pumping stations </w:t>
      </w:r>
      <w:r w:rsidR="00743254">
        <w:t xml:space="preserve">in </w:t>
      </w:r>
      <w:r w:rsidR="00743254" w:rsidRPr="001A3AD6">
        <w:t>reticulation</w:t>
      </w:r>
      <w:r w:rsidR="00743254">
        <w:t xml:space="preserve"> </w:t>
      </w:r>
      <w:r w:rsidRPr="001A3AD6">
        <w:t>infrastructure</w:t>
      </w:r>
      <w:r>
        <w:t>.</w:t>
      </w:r>
    </w:p>
    <w:p w14:paraId="4F6C202C" w14:textId="10DFFEBB" w:rsidR="0091198D" w:rsidRDefault="0091198D" w:rsidP="0091198D">
      <w:pPr>
        <w:pStyle w:val="NTUanumberingindent1"/>
        <w:numPr>
          <w:ilvl w:val="0"/>
          <w:numId w:val="32"/>
        </w:numPr>
        <w:ind w:left="964"/>
      </w:pPr>
      <w:r>
        <w:t>Water reticulation mains.</w:t>
      </w:r>
    </w:p>
    <w:p w14:paraId="28918E48" w14:textId="6F8530B4" w:rsidR="00743254" w:rsidRPr="00743254" w:rsidRDefault="00743254" w:rsidP="00F66481">
      <w:pPr>
        <w:pStyle w:val="NTUnoindentNormal"/>
      </w:pPr>
      <w:r>
        <w:t>The NEDS for each of the above are contained in the following sections of the NEDS:</w:t>
      </w:r>
    </w:p>
    <w:p w14:paraId="1F0ED6BC" w14:textId="2B8ACB25" w:rsidR="0091198D" w:rsidRPr="0091198D" w:rsidRDefault="0091198D" w:rsidP="00F66481">
      <w:pPr>
        <w:pStyle w:val="NTUnoindentNormal"/>
        <w:rPr>
          <w:b/>
          <w:bCs/>
          <w:i/>
          <w:iCs/>
        </w:rPr>
      </w:pPr>
      <w:r w:rsidRPr="0091198D">
        <w:rPr>
          <w:b/>
          <w:bCs/>
          <w:i/>
          <w:iCs/>
        </w:rPr>
        <w:t xml:space="preserve">Gravity Wastewater </w:t>
      </w:r>
      <w:r>
        <w:rPr>
          <w:b/>
          <w:bCs/>
          <w:i/>
          <w:iCs/>
        </w:rPr>
        <w:t>R</w:t>
      </w:r>
      <w:r w:rsidRPr="0091198D">
        <w:rPr>
          <w:b/>
          <w:bCs/>
          <w:i/>
          <w:iCs/>
        </w:rPr>
        <w:t xml:space="preserve">eticulation </w:t>
      </w:r>
      <w:r>
        <w:rPr>
          <w:b/>
          <w:bCs/>
          <w:i/>
          <w:iCs/>
        </w:rPr>
        <w:t>I</w:t>
      </w:r>
      <w:r w:rsidRPr="0091198D">
        <w:rPr>
          <w:b/>
          <w:bCs/>
          <w:i/>
          <w:iCs/>
        </w:rPr>
        <w:t>nfrastructure</w:t>
      </w:r>
      <w:r w:rsidR="00743254">
        <w:rPr>
          <w:b/>
          <w:bCs/>
          <w:i/>
          <w:iCs/>
        </w:rPr>
        <w:t xml:space="preserve"> – Section </w:t>
      </w:r>
      <w:r w:rsidR="00743254" w:rsidRPr="00743254">
        <w:rPr>
          <w:b/>
          <w:bCs/>
          <w:i/>
          <w:iCs/>
          <w:highlight w:val="yellow"/>
        </w:rPr>
        <w:t>X.X</w:t>
      </w:r>
    </w:p>
    <w:p w14:paraId="027D48DE" w14:textId="28EF1E42" w:rsidR="0091198D" w:rsidRDefault="009714C5" w:rsidP="00F66481">
      <w:pPr>
        <w:pStyle w:val="NTUnoindentNormal"/>
      </w:pPr>
      <w:r w:rsidRPr="00A27DD7">
        <w:t xml:space="preserve">The </w:t>
      </w:r>
      <w:r w:rsidR="00743254">
        <w:t xml:space="preserve">section of the </w:t>
      </w:r>
      <w:r w:rsidRPr="00A27DD7">
        <w:t>NEDS covers the planning, design, construction, and handover of gravity wastewater reticulation mains, nominally up to DN 300. Concepts may apply to larger sized mains in very large developments. However, it is not intended that this standard</w:t>
      </w:r>
      <w:r>
        <w:t>s</w:t>
      </w:r>
      <w:r w:rsidRPr="00A27DD7">
        <w:t xml:space="preserve"> be applied to transmission assets where specific design is required.</w:t>
      </w:r>
    </w:p>
    <w:p w14:paraId="510EE0BB" w14:textId="77777777" w:rsidR="009714C5" w:rsidRDefault="009714C5" w:rsidP="009714C5">
      <w:pPr>
        <w:pStyle w:val="NTUnoindentNormal"/>
        <w:rPr>
          <w:b/>
          <w:bCs/>
        </w:rPr>
      </w:pPr>
      <w:r w:rsidRPr="00A27DD7">
        <w:t>The NEDS exclude design requirements for storage tanks and wastewater treatment facilities. The NEDS does not specifically address wastewater reticulation in either private or rural communities that are connected to an entities reticulation system. However, where the reticulation is likely to be maintained by the entity or its contractor, it is recommended that the Gravity Reticulation Wastewater Standard be adopted as a "deemed-to-comply" solution for reticulated wastewater services</w:t>
      </w:r>
      <w:r w:rsidRPr="00A27DD7">
        <w:rPr>
          <w:b/>
          <w:bCs/>
        </w:rPr>
        <w:t>.</w:t>
      </w:r>
    </w:p>
    <w:p w14:paraId="42D054C1" w14:textId="77777777" w:rsidR="009714C5" w:rsidRDefault="009714C5" w:rsidP="009714C5">
      <w:pPr>
        <w:pStyle w:val="NTUnoindentNormal"/>
      </w:pPr>
      <w:r w:rsidRPr="00AE2B99">
        <w:t>Approved products and materials are excluded from this version of the NEDS. It is proposed that the</w:t>
      </w:r>
      <w:r>
        <w:t xml:space="preserve"> entities</w:t>
      </w:r>
      <w:r w:rsidRPr="00AE2B99">
        <w:t xml:space="preserve"> will adopt </w:t>
      </w:r>
      <w:r>
        <w:t>the</w:t>
      </w:r>
      <w:r w:rsidRPr="00AE2B99">
        <w:t xml:space="preserve"> approved products and materials and apply them to their current geographical boundaries until such time they are updated.</w:t>
      </w:r>
    </w:p>
    <w:p w14:paraId="4D503C64" w14:textId="77777777" w:rsidR="009714C5" w:rsidRDefault="009714C5" w:rsidP="009714C5">
      <w:pPr>
        <w:pStyle w:val="NTUnoindentNormal"/>
      </w:pPr>
      <w:r>
        <w:t>The methods to which the entities will adopt and apply the NEDS will be as per the entities development code.</w:t>
      </w:r>
    </w:p>
    <w:p w14:paraId="5CF58A69" w14:textId="4D57F0F3" w:rsidR="0091198D" w:rsidRPr="0091198D" w:rsidRDefault="0091198D" w:rsidP="0091198D">
      <w:pPr>
        <w:pStyle w:val="NTUanumberingindent1"/>
        <w:rPr>
          <w:b/>
          <w:bCs/>
          <w:i/>
          <w:iCs/>
        </w:rPr>
      </w:pPr>
      <w:r w:rsidRPr="0091198D">
        <w:rPr>
          <w:b/>
          <w:bCs/>
          <w:i/>
          <w:iCs/>
        </w:rPr>
        <w:t xml:space="preserve">Stormwater </w:t>
      </w:r>
      <w:r>
        <w:rPr>
          <w:b/>
          <w:bCs/>
          <w:i/>
          <w:iCs/>
        </w:rPr>
        <w:t>R</w:t>
      </w:r>
      <w:r w:rsidRPr="0091198D">
        <w:rPr>
          <w:b/>
          <w:bCs/>
          <w:i/>
          <w:iCs/>
        </w:rPr>
        <w:t xml:space="preserve">eticulation </w:t>
      </w:r>
      <w:r>
        <w:rPr>
          <w:b/>
          <w:bCs/>
          <w:i/>
          <w:iCs/>
        </w:rPr>
        <w:t>I</w:t>
      </w:r>
      <w:r w:rsidRPr="0091198D">
        <w:rPr>
          <w:b/>
          <w:bCs/>
          <w:i/>
          <w:iCs/>
        </w:rPr>
        <w:t>nfrastructur</w:t>
      </w:r>
      <w:r w:rsidR="00743254">
        <w:rPr>
          <w:b/>
          <w:bCs/>
          <w:i/>
          <w:iCs/>
        </w:rPr>
        <w:t>e</w:t>
      </w:r>
      <w:r w:rsidRPr="0091198D">
        <w:rPr>
          <w:b/>
          <w:bCs/>
          <w:i/>
          <w:iCs/>
        </w:rPr>
        <w:t xml:space="preserve"> </w:t>
      </w:r>
      <w:r w:rsidR="00743254">
        <w:rPr>
          <w:b/>
          <w:bCs/>
          <w:i/>
          <w:iCs/>
        </w:rPr>
        <w:t xml:space="preserve">– Section </w:t>
      </w:r>
      <w:r w:rsidR="00743254" w:rsidRPr="00743254">
        <w:rPr>
          <w:b/>
          <w:bCs/>
          <w:i/>
          <w:iCs/>
          <w:highlight w:val="yellow"/>
        </w:rPr>
        <w:t>X.X</w:t>
      </w:r>
      <w:r w:rsidRPr="0091198D">
        <w:rPr>
          <w:b/>
          <w:bCs/>
          <w:i/>
          <w:iCs/>
        </w:rPr>
        <w:t xml:space="preserve"> </w:t>
      </w:r>
    </w:p>
    <w:p w14:paraId="6AD4B1D4" w14:textId="31091061" w:rsidR="00743254" w:rsidRDefault="00743254" w:rsidP="00743254">
      <w:pPr>
        <w:pStyle w:val="NTUnoindentNormal"/>
      </w:pPr>
      <w:r w:rsidRPr="00F6789D">
        <w:t>Th</w:t>
      </w:r>
      <w:r>
        <w:t>is section of the</w:t>
      </w:r>
      <w:r w:rsidRPr="00F6789D">
        <w:t xml:space="preserve"> NEDS covers the planning, design, construction, and handover of stormwater reticulation pipes, manholes, overland flow paths (OLFP), and green devices by reference to local design guides.  These include devices such as wetlands, rain gardens, detention and retention tanks, ponds and swales.</w:t>
      </w:r>
    </w:p>
    <w:p w14:paraId="7EC24888" w14:textId="092CF0C0" w:rsidR="00743254" w:rsidRPr="00AD719C" w:rsidRDefault="00743254" w:rsidP="00AD719C">
      <w:pPr>
        <w:pStyle w:val="NTUnoindentNormal"/>
      </w:pPr>
      <w:r w:rsidRPr="00F6789D">
        <w:t>The NEDS exclude</w:t>
      </w:r>
      <w:r>
        <w:t>s</w:t>
      </w:r>
      <w:r w:rsidRPr="00F6789D">
        <w:t xml:space="preserve"> design requirements for pumping stations that require specific design. The NEDS do not specifically address private or rural communities that are connected to an entity’s reticulation system. However, where the reticulation is likely to be maintained by the entity or its contractor, it is recommended that the Stormwater Standard be adopted as a "deemed-to-comply" solution for reticulated wastewater services</w:t>
      </w:r>
      <w:r w:rsidR="00AD719C">
        <w:t>.</w:t>
      </w:r>
    </w:p>
    <w:p w14:paraId="14B9EF0B" w14:textId="0909D2FE" w:rsidR="00AD719C" w:rsidRDefault="00AD719C">
      <w:pPr>
        <w:rPr>
          <w:rFonts w:ascii="Calibri" w:eastAsia="Calibri" w:hAnsi="Calibri" w:cs="Calibri"/>
          <w:b/>
          <w:bCs/>
          <w:i/>
          <w:iCs/>
          <w:color w:val="000000" w:themeColor="text1"/>
          <w:kern w:val="0"/>
          <w:sz w:val="20"/>
          <w:szCs w:val="20"/>
          <w:lang w:eastAsia="en-GB"/>
          <w14:ligatures w14:val="none"/>
        </w:rPr>
      </w:pPr>
    </w:p>
    <w:p w14:paraId="76D38697" w14:textId="1C1CB78A" w:rsidR="0091198D" w:rsidRPr="0091198D" w:rsidRDefault="0091198D" w:rsidP="0091198D">
      <w:pPr>
        <w:pStyle w:val="NTUanumberingindent1"/>
        <w:rPr>
          <w:b/>
          <w:bCs/>
          <w:i/>
          <w:iCs/>
        </w:rPr>
      </w:pPr>
      <w:r w:rsidRPr="0091198D">
        <w:rPr>
          <w:b/>
          <w:bCs/>
          <w:i/>
          <w:iCs/>
        </w:rPr>
        <w:t xml:space="preserve">Wastewater </w:t>
      </w:r>
      <w:r>
        <w:rPr>
          <w:b/>
          <w:bCs/>
          <w:i/>
          <w:iCs/>
        </w:rPr>
        <w:t>P</w:t>
      </w:r>
      <w:r w:rsidRPr="0091198D">
        <w:rPr>
          <w:b/>
          <w:bCs/>
          <w:i/>
          <w:iCs/>
        </w:rPr>
        <w:t xml:space="preserve">umping </w:t>
      </w:r>
      <w:r>
        <w:rPr>
          <w:b/>
          <w:bCs/>
          <w:i/>
          <w:iCs/>
        </w:rPr>
        <w:t>S</w:t>
      </w:r>
      <w:r w:rsidRPr="0091198D">
        <w:rPr>
          <w:b/>
          <w:bCs/>
          <w:i/>
          <w:iCs/>
        </w:rPr>
        <w:t xml:space="preserve">tations </w:t>
      </w:r>
      <w:r w:rsidR="00743254">
        <w:rPr>
          <w:b/>
          <w:bCs/>
          <w:i/>
          <w:iCs/>
        </w:rPr>
        <w:t>in</w:t>
      </w:r>
      <w:r w:rsidRPr="0091198D">
        <w:rPr>
          <w:b/>
          <w:bCs/>
          <w:i/>
          <w:iCs/>
        </w:rPr>
        <w:t xml:space="preserve"> </w:t>
      </w:r>
      <w:r w:rsidR="00743254">
        <w:rPr>
          <w:b/>
          <w:bCs/>
          <w:i/>
          <w:iCs/>
        </w:rPr>
        <w:t>R</w:t>
      </w:r>
      <w:r w:rsidR="00743254" w:rsidRPr="0091198D">
        <w:rPr>
          <w:b/>
          <w:bCs/>
          <w:i/>
          <w:iCs/>
        </w:rPr>
        <w:t>eticulation</w:t>
      </w:r>
      <w:r w:rsidR="00743254">
        <w:rPr>
          <w:b/>
          <w:bCs/>
          <w:i/>
          <w:iCs/>
        </w:rPr>
        <w:t xml:space="preserve"> </w:t>
      </w:r>
      <w:r>
        <w:rPr>
          <w:b/>
          <w:bCs/>
          <w:i/>
          <w:iCs/>
        </w:rPr>
        <w:t>I</w:t>
      </w:r>
      <w:r w:rsidRPr="0091198D">
        <w:rPr>
          <w:b/>
          <w:bCs/>
          <w:i/>
          <w:iCs/>
        </w:rPr>
        <w:t>nfrastructure</w:t>
      </w:r>
      <w:r w:rsidR="00743254">
        <w:rPr>
          <w:b/>
          <w:bCs/>
          <w:i/>
          <w:iCs/>
        </w:rPr>
        <w:t xml:space="preserve"> – Section </w:t>
      </w:r>
      <w:r w:rsidR="00743254" w:rsidRPr="00743254">
        <w:rPr>
          <w:b/>
          <w:bCs/>
          <w:i/>
          <w:iCs/>
          <w:highlight w:val="yellow"/>
        </w:rPr>
        <w:t>X.X</w:t>
      </w:r>
    </w:p>
    <w:p w14:paraId="4FC6BD2C" w14:textId="0724D789" w:rsidR="00743254" w:rsidRPr="001A3AD6" w:rsidRDefault="00743254" w:rsidP="00743254">
      <w:pPr>
        <w:pStyle w:val="NTUnoindentNormal"/>
      </w:pPr>
      <w:r w:rsidRPr="001A3AD6">
        <w:lastRenderedPageBreak/>
        <w:t xml:space="preserve">This </w:t>
      </w:r>
      <w:r>
        <w:t xml:space="preserve">section of the </w:t>
      </w:r>
      <w:r w:rsidRPr="001A3AD6">
        <w:t>NEDS focuses on</w:t>
      </w:r>
      <w:r>
        <w:t xml:space="preserve"> the</w:t>
      </w:r>
      <w:r w:rsidRPr="001A3AD6">
        <w:t xml:space="preserve"> technical requirements for the planning, design, construction, and handover of </w:t>
      </w:r>
      <w:bookmarkStart w:id="22" w:name="_Hlk152934030"/>
      <w:r w:rsidRPr="001A3AD6">
        <w:t>wastewater pumping stations in reticulation infrastructure</w:t>
      </w:r>
      <w:bookmarkEnd w:id="22"/>
      <w:r w:rsidRPr="001A3AD6">
        <w:t xml:space="preserve">.  </w:t>
      </w:r>
    </w:p>
    <w:p w14:paraId="64828DBB" w14:textId="77777777" w:rsidR="00743254" w:rsidRDefault="00743254" w:rsidP="00743254">
      <w:pPr>
        <w:pStyle w:val="NTUnoindentNormal"/>
      </w:pPr>
      <w:r w:rsidRPr="001A3AD6">
        <w:t>The NEDS covers the planning, design, construction, and handover of wastewater pumping stations and rising mains with a diameter less than 300mm. A small pump station is defined as one with only a wet well containing submersible pumps rated not greater than 22kW and total peak power demand not greater than 100A. Concepts may apply to larger sized rising mains and pump stations in very large developments. However, it is not intended that this standard be applied to transmission assets where specific design is required.</w:t>
      </w:r>
    </w:p>
    <w:p w14:paraId="1654125C" w14:textId="67DB54A5" w:rsidR="00743254" w:rsidRDefault="00743254" w:rsidP="00743254">
      <w:pPr>
        <w:pStyle w:val="NTUnoindentNormal"/>
        <w:rPr>
          <w:b/>
          <w:bCs/>
        </w:rPr>
      </w:pPr>
      <w:r w:rsidRPr="001A3AD6">
        <w:t>The NEDS exclude</w:t>
      </w:r>
      <w:r>
        <w:t>s</w:t>
      </w:r>
      <w:r w:rsidRPr="001A3AD6">
        <w:t xml:space="preserve"> design requirements for pumping stations that require specific design those with dry wells or transmission pump stations.  The NEDS do not specifically address wastewater pump</w:t>
      </w:r>
      <w:r>
        <w:t>ing</w:t>
      </w:r>
      <w:r w:rsidRPr="001A3AD6">
        <w:t xml:space="preserve"> stations in either private or rural communities that are connected to an entity’s reticulation system. However, where the reticulation is likely to be maintained by the entity or its contractor, it is recommended that the Wastewater pumped Standard be adopted as a "deemed-to-comply" solution for reticulated wastewater services</w:t>
      </w:r>
      <w:r w:rsidRPr="001A3AD6">
        <w:rPr>
          <w:b/>
          <w:bCs/>
        </w:rPr>
        <w:t>.</w:t>
      </w:r>
    </w:p>
    <w:p w14:paraId="0B0C433E" w14:textId="1A767F50" w:rsidR="0091198D" w:rsidRPr="0091198D" w:rsidRDefault="0091198D" w:rsidP="00F66481">
      <w:pPr>
        <w:pStyle w:val="NTUnoindentNormal"/>
        <w:rPr>
          <w:b/>
          <w:bCs/>
          <w:i/>
          <w:iCs/>
        </w:rPr>
      </w:pPr>
      <w:r w:rsidRPr="0091198D">
        <w:rPr>
          <w:b/>
          <w:bCs/>
          <w:i/>
          <w:iCs/>
        </w:rPr>
        <w:t xml:space="preserve">Water </w:t>
      </w:r>
      <w:r>
        <w:rPr>
          <w:b/>
          <w:bCs/>
          <w:i/>
          <w:iCs/>
        </w:rPr>
        <w:t>R</w:t>
      </w:r>
      <w:r w:rsidRPr="0091198D">
        <w:rPr>
          <w:b/>
          <w:bCs/>
          <w:i/>
          <w:iCs/>
        </w:rPr>
        <w:t xml:space="preserve">eticulation </w:t>
      </w:r>
      <w:r>
        <w:rPr>
          <w:b/>
          <w:bCs/>
          <w:i/>
          <w:iCs/>
        </w:rPr>
        <w:t>M</w:t>
      </w:r>
      <w:r w:rsidRPr="0091198D">
        <w:rPr>
          <w:b/>
          <w:bCs/>
          <w:i/>
          <w:iCs/>
        </w:rPr>
        <w:t>ains</w:t>
      </w:r>
      <w:r w:rsidR="00743254">
        <w:rPr>
          <w:b/>
          <w:bCs/>
          <w:i/>
          <w:iCs/>
        </w:rPr>
        <w:t xml:space="preserve"> – Section </w:t>
      </w:r>
      <w:r w:rsidR="00743254" w:rsidRPr="00743254">
        <w:rPr>
          <w:b/>
          <w:bCs/>
          <w:i/>
          <w:iCs/>
          <w:highlight w:val="yellow"/>
        </w:rPr>
        <w:t>X.X</w:t>
      </w:r>
    </w:p>
    <w:p w14:paraId="2EE2349B" w14:textId="2B6D4889" w:rsidR="00743254" w:rsidRPr="00497048" w:rsidRDefault="00743254" w:rsidP="00743254">
      <w:pPr>
        <w:pStyle w:val="NTUnoindentNormal"/>
      </w:pPr>
      <w:r w:rsidRPr="00497048">
        <w:t xml:space="preserve">This </w:t>
      </w:r>
      <w:r>
        <w:t xml:space="preserve">section of the </w:t>
      </w:r>
      <w:r w:rsidRPr="00497048">
        <w:t xml:space="preserve">NEDS focuses on </w:t>
      </w:r>
      <w:r>
        <w:t xml:space="preserve">the </w:t>
      </w:r>
      <w:r w:rsidRPr="00497048">
        <w:t xml:space="preserve">technical requirements for the planning, design, construction, and handover of potable water reticulation infrastructure.  </w:t>
      </w:r>
    </w:p>
    <w:p w14:paraId="5EA041AA" w14:textId="77777777" w:rsidR="00743254" w:rsidRDefault="00743254" w:rsidP="00743254">
      <w:pPr>
        <w:pStyle w:val="NTUnoindentNormal"/>
      </w:pPr>
      <w:r w:rsidRPr="00497048">
        <w:t>The NEDS covers the planning, design, construction, and handover of water reticulation mains</w:t>
      </w:r>
      <w:r w:rsidRPr="00743254">
        <w:t xml:space="preserve"> </w:t>
      </w:r>
      <w:r w:rsidRPr="001A3AD6">
        <w:t>with a diameter less than 300mm</w:t>
      </w:r>
      <w:r w:rsidRPr="00497048">
        <w:t>. Concepts may apply to larger sized mains in very large developments. However, it is not intended that this standard be applied to transmission assets where specific design is required.</w:t>
      </w:r>
    </w:p>
    <w:p w14:paraId="3708F5D3" w14:textId="6F5D13DA" w:rsidR="00743254" w:rsidRDefault="00743254" w:rsidP="00743254">
      <w:pPr>
        <w:pStyle w:val="NTUnoindentNormal"/>
        <w:rPr>
          <w:b/>
          <w:bCs/>
        </w:rPr>
      </w:pPr>
      <w:r w:rsidRPr="00497048">
        <w:t>The NEDS exclude</w:t>
      </w:r>
      <w:r>
        <w:t>s</w:t>
      </w:r>
      <w:r w:rsidRPr="00497048">
        <w:t xml:space="preserve"> design requirements for reservoirs, booster pump stations, pressure management devices, wellheads or any water treatment facilities. The NEDS do not specifically address water reticulation in either private or rural communities that are connected to an entities reticulation system. However, where the reticulation is likely to be maintained by the entity or its contractor, it is recommended that the Water reticulation Standard be adopted as a "deemed-to-comply" solution for reticulated water services</w:t>
      </w:r>
      <w:r w:rsidRPr="00497048">
        <w:rPr>
          <w:b/>
          <w:bCs/>
        </w:rPr>
        <w:t>.</w:t>
      </w:r>
    </w:p>
    <w:p w14:paraId="5E013865" w14:textId="77777777" w:rsidR="00B72F45" w:rsidRPr="004672DA" w:rsidRDefault="00B72F45" w:rsidP="00F66481">
      <w:pPr>
        <w:pStyle w:val="NTUNoNumbers-H3"/>
      </w:pPr>
      <w:bookmarkStart w:id="23" w:name="_Toc145948915"/>
      <w:r w:rsidRPr="004672DA">
        <w:t xml:space="preserve">Requirements and Informative </w:t>
      </w:r>
      <w:r>
        <w:t>NEDS</w:t>
      </w:r>
      <w:bookmarkEnd w:id="23"/>
    </w:p>
    <w:p w14:paraId="6FDD6BE8" w14:textId="77777777" w:rsidR="00B72F45" w:rsidRPr="008B1742" w:rsidRDefault="00B72F45" w:rsidP="00B72F45">
      <w:pPr>
        <w:pStyle w:val="NTUnoindentNormal"/>
      </w:pPr>
      <w:r w:rsidRPr="009A2B60">
        <w:t xml:space="preserve">The </w:t>
      </w:r>
      <w:r>
        <w:t>NEDS</w:t>
      </w:r>
      <w:r w:rsidRPr="008B1742">
        <w:t xml:space="preserve"> provides a mixture of mandatory minimum requirements and informative statements.  The mandatory minimum requirements are a mixture of prescriptive and performance statements.</w:t>
      </w:r>
    </w:p>
    <w:p w14:paraId="1C81A5BC" w14:textId="77777777" w:rsidR="00B72F45" w:rsidRPr="008B1742" w:rsidRDefault="00B72F45" w:rsidP="00B72F45">
      <w:pPr>
        <w:pStyle w:val="NTUnoindentNormal"/>
        <w:rPr>
          <w:i/>
          <w:iCs/>
        </w:rPr>
      </w:pPr>
      <w:r w:rsidRPr="008B1742">
        <w:t xml:space="preserve">The informative statements provided in the </w:t>
      </w:r>
      <w:r>
        <w:t>NEDS</w:t>
      </w:r>
      <w:r w:rsidRPr="008B1742">
        <w:t xml:space="preserve"> have been interspersed throughout the mandatory requirements to provide some context and enable better understanding of the mandatory requirements</w:t>
      </w:r>
      <w:r w:rsidRPr="008B1742">
        <w:rPr>
          <w:i/>
          <w:iCs/>
        </w:rPr>
        <w:t>.</w:t>
      </w:r>
    </w:p>
    <w:p w14:paraId="34BFD9EA" w14:textId="77777777" w:rsidR="00B72F45" w:rsidRDefault="00B72F45" w:rsidP="00B72F45">
      <w:pPr>
        <w:pStyle w:val="NTUnoindentNormal"/>
      </w:pPr>
      <w:r w:rsidRPr="008B1742">
        <w:t xml:space="preserve">It is emphasised that the exact approach taken to all aspects of a particular </w:t>
      </w:r>
      <w:r>
        <w:t>three waters</w:t>
      </w:r>
      <w:r w:rsidRPr="008B1742">
        <w:t xml:space="preserve"> reticulation project is the decision of the </w:t>
      </w:r>
      <w:r>
        <w:t>entity</w:t>
      </w:r>
      <w:r>
        <w:rPr>
          <w:b/>
          <w:bCs/>
        </w:rPr>
        <w:t xml:space="preserve">. </w:t>
      </w:r>
      <w:r w:rsidRPr="008B1742">
        <w:t>Th</w:t>
      </w:r>
      <w:r>
        <w:t>e NEDS</w:t>
      </w:r>
      <w:r w:rsidRPr="008B1742">
        <w:t xml:space="preserve"> provides technical information to aid in that process.</w:t>
      </w:r>
    </w:p>
    <w:p w14:paraId="476517D1" w14:textId="77777777" w:rsidR="00743254" w:rsidRDefault="00B72F45" w:rsidP="00743254">
      <w:pPr>
        <w:pStyle w:val="NTUnoindentNormal"/>
      </w:pPr>
      <w:r>
        <w:t>Regional variances where required, are provided.</w:t>
      </w:r>
      <w:r w:rsidR="00743254" w:rsidRPr="00743254">
        <w:t xml:space="preserve"> </w:t>
      </w:r>
    </w:p>
    <w:p w14:paraId="4B5BDD98" w14:textId="58F002BC" w:rsidR="00CF7EF1" w:rsidRDefault="00CF7EF1">
      <w:pPr>
        <w:rPr>
          <w:rFonts w:ascii="Calibri" w:eastAsia="Calibri" w:hAnsi="Calibri" w:cs="Calibri"/>
          <w:b/>
          <w:color w:val="000000" w:themeColor="text1"/>
          <w:kern w:val="0"/>
          <w:sz w:val="20"/>
          <w:szCs w:val="20"/>
          <w:highlight w:val="yellow"/>
          <w:lang w:eastAsia="en-GB"/>
          <w14:ligatures w14:val="none"/>
        </w:rPr>
      </w:pPr>
      <w:bookmarkStart w:id="24" w:name="_Toc145948916"/>
    </w:p>
    <w:p w14:paraId="490514C6" w14:textId="5EC8A2BD" w:rsidR="002D5BE7" w:rsidRPr="00D270EE" w:rsidRDefault="002D5BE7" w:rsidP="002D5BE7">
      <w:pPr>
        <w:pStyle w:val="NTUNonumbers-H1"/>
        <w:rPr>
          <w:lang w:val="en-US" w:eastAsia="en-US"/>
        </w:rPr>
      </w:pPr>
      <w:r>
        <w:rPr>
          <w:lang w:val="en-US" w:eastAsia="en-US"/>
        </w:rPr>
        <w:t>STATUTORY AND REGULATORY CONTEXT</w:t>
      </w:r>
    </w:p>
    <w:p w14:paraId="496CE318" w14:textId="5DBDFCC3" w:rsidR="00545400" w:rsidRPr="00F52F98" w:rsidRDefault="00545400" w:rsidP="00F52F98">
      <w:pPr>
        <w:pStyle w:val="NTUnoindentNormal"/>
      </w:pPr>
      <w:r w:rsidRPr="00F52F98">
        <w:t>The NEDS provide sector-wide and nation-wide technical standards for Water, Stormwater, Wastewater Gravity, and Wastewater Pumping to support the efficient and consistent design, approval, procurement, construction, maintenance and renewal of infrastructure assets.</w:t>
      </w:r>
    </w:p>
    <w:p w14:paraId="3981967A" w14:textId="77777777" w:rsidR="00015F91" w:rsidRPr="00F52F98" w:rsidRDefault="00D00A1C" w:rsidP="00F52F98">
      <w:pPr>
        <w:pStyle w:val="NTUnoindentNormal"/>
      </w:pPr>
      <w:r w:rsidRPr="00F52F98">
        <w:lastRenderedPageBreak/>
        <w:t xml:space="preserve">The NEDS set out minimum standards for the design of Water, Stormwater, Wastewater Gravity, and Wastewater Pumping infrastructure. Whilst the NEDS also seek to embed the key principles of Te Mana o te Wai and Te Tiriti o Waitangi, and to promote innovation, sustainability and positive contribution to reversing climate change effects, minimum design standards will only have a limited role to play and their </w:t>
      </w:r>
      <w:r w:rsidR="00015F91" w:rsidRPr="00F52F98">
        <w:t xml:space="preserve">overall </w:t>
      </w:r>
      <w:r w:rsidRPr="00F52F98">
        <w:t>effectiveness will, to a large part, be dependent on other factors including</w:t>
      </w:r>
      <w:r w:rsidR="00015F91" w:rsidRPr="00F52F98">
        <w:t>:</w:t>
      </w:r>
    </w:p>
    <w:p w14:paraId="2753CA31" w14:textId="77777777" w:rsidR="00015F91" w:rsidRDefault="00015F91" w:rsidP="00015F91">
      <w:pPr>
        <w:pStyle w:val="NTUanumberingindent1"/>
        <w:numPr>
          <w:ilvl w:val="0"/>
          <w:numId w:val="36"/>
        </w:numPr>
        <w:ind w:left="964"/>
      </w:pPr>
      <w:r>
        <w:t>T</w:t>
      </w:r>
      <w:r w:rsidR="00D00A1C" w:rsidRPr="00015F91">
        <w:t>he planning for new infrastructure, including the assessment of options;</w:t>
      </w:r>
    </w:p>
    <w:p w14:paraId="16520C76" w14:textId="77777777" w:rsidR="00015F91" w:rsidRDefault="00015F91" w:rsidP="00015F91">
      <w:pPr>
        <w:pStyle w:val="NTUanumberingindent1"/>
        <w:numPr>
          <w:ilvl w:val="0"/>
          <w:numId w:val="36"/>
        </w:numPr>
        <w:ind w:left="964"/>
      </w:pPr>
      <w:r>
        <w:t>T</w:t>
      </w:r>
      <w:r w:rsidR="00D00A1C" w:rsidRPr="00015F91">
        <w:t xml:space="preserve">he statutory frameworks within which </w:t>
      </w:r>
      <w:r w:rsidRPr="00015F91">
        <w:t>infrastructure and public utility provider</w:t>
      </w:r>
      <w:r>
        <w:t>s operate; and</w:t>
      </w:r>
    </w:p>
    <w:p w14:paraId="18B15221" w14:textId="6857925D" w:rsidR="00545400" w:rsidRPr="00015F91" w:rsidRDefault="00015F91" w:rsidP="00015F91">
      <w:pPr>
        <w:pStyle w:val="NTUanumberingindent1"/>
        <w:numPr>
          <w:ilvl w:val="0"/>
          <w:numId w:val="36"/>
        </w:numPr>
        <w:ind w:left="964"/>
      </w:pPr>
      <w:r>
        <w:t>T</w:t>
      </w:r>
      <w:r w:rsidRPr="00015F91">
        <w:t>he wider statutory frameworks that govern the design, consenting/approvals, and construction processes for</w:t>
      </w:r>
      <w:r>
        <w:t xml:space="preserve"> </w:t>
      </w:r>
      <w:r w:rsidRPr="00015F91">
        <w:t>new infrastructure</w:t>
      </w:r>
      <w:r>
        <w:t>.</w:t>
      </w:r>
    </w:p>
    <w:p w14:paraId="1AD9EC07" w14:textId="77777777" w:rsidR="00F12615" w:rsidRPr="00123B99" w:rsidRDefault="00F12615" w:rsidP="00F12615">
      <w:pPr>
        <w:pStyle w:val="NTUNoNumbers-H3"/>
      </w:pPr>
      <w:r w:rsidRPr="00123B99">
        <w:t>Resource Management Act</w:t>
      </w:r>
    </w:p>
    <w:p w14:paraId="354094F9" w14:textId="77777777" w:rsidR="00F12615" w:rsidRPr="00C746B2" w:rsidRDefault="00F12615" w:rsidP="00F12615">
      <w:pPr>
        <w:pStyle w:val="NTUnoindentNormal"/>
      </w:pPr>
      <w:r w:rsidRPr="00C746B2">
        <w:t>The Resource Management Act (RMA) is a key piece of legislation that sets out how we should manage our environment in New Zealand.</w:t>
      </w:r>
    </w:p>
    <w:p w14:paraId="099FD26D" w14:textId="77777777" w:rsidR="00F12615" w:rsidRDefault="00F12615" w:rsidP="00F12615">
      <w:pPr>
        <w:pStyle w:val="NTUnoindentNormal"/>
      </w:pPr>
      <w:r w:rsidRPr="00C746B2">
        <w:t>As well as managing air, soil, fresh water and coastal marine areas, the RMA regulates land use and the provision of infrastructure, which are integral components of Aotearoa New Zealand’s resource management system.</w:t>
      </w:r>
    </w:p>
    <w:p w14:paraId="53585B64" w14:textId="77777777" w:rsidR="00F12615" w:rsidRDefault="00F12615" w:rsidP="00F12615">
      <w:pPr>
        <w:pStyle w:val="NTUnoindentNormal"/>
      </w:pPr>
      <w:r>
        <w:t>The RMA sets out the regulatory framework and requirement for all territorial authorities to prepare district and regional plans – the regulatory tools that manage and protect our environment at the local level/scale. However, the RMA also provides national direction through national policy statements in relation to key topics including freshwater management, greenhouse gas emissions from industrial process heat, highly productive land, indigenous biodiversity, renewable electricity generation, electricity transmission, urban development and the New Zealand Coastal Policy Statement.</w:t>
      </w:r>
    </w:p>
    <w:p w14:paraId="2637B7A8" w14:textId="3214018D" w:rsidR="00F12615" w:rsidRPr="00F12615" w:rsidRDefault="00F12615" w:rsidP="00F12615">
      <w:pPr>
        <w:pStyle w:val="NTUnoindentNormal"/>
      </w:pPr>
      <w:r>
        <w:t>The RMA, including the district and regional plans prepared under it and the national policy statements, are important because they setout the regulatory framework and context to the design, consenting, construction and operation of infrastructure. In the planning for infrastructure, and in assessing options and selecting what and how infrastructure is to be designed and delivered, the environmental effects of that infrastructure need to be carefully considered and evaluated to ensure that the purpose and principles of the RMA, including the overriding purpose</w:t>
      </w:r>
      <w:r w:rsidRPr="00974385">
        <w:t xml:space="preserve"> to promote the sustainable management of natural and physical resources</w:t>
      </w:r>
      <w:r>
        <w:t xml:space="preserve">, are given effect to. </w:t>
      </w:r>
    </w:p>
    <w:p w14:paraId="428D797A" w14:textId="77777777" w:rsidR="00F12615" w:rsidRDefault="00F12615" w:rsidP="00F12615">
      <w:pPr>
        <w:pStyle w:val="NTUnoindentNormal"/>
        <w:rPr>
          <w:b/>
          <w:bCs/>
          <w:i/>
          <w:iCs/>
        </w:rPr>
      </w:pPr>
      <w:r>
        <w:rPr>
          <w:b/>
          <w:bCs/>
          <w:i/>
          <w:iCs/>
        </w:rPr>
        <w:t>RMA Reform</w:t>
      </w:r>
    </w:p>
    <w:p w14:paraId="487A282B" w14:textId="77777777" w:rsidR="00F12615" w:rsidRPr="0058542D" w:rsidRDefault="00F12615" w:rsidP="00F12615">
      <w:pPr>
        <w:pStyle w:val="NTUnoindentNormal"/>
      </w:pPr>
      <w:r w:rsidRPr="0058542D">
        <w:t xml:space="preserve">In February 2021, the </w:t>
      </w:r>
      <w:r>
        <w:t xml:space="preserve">then Labour </w:t>
      </w:r>
      <w:r w:rsidRPr="0058542D">
        <w:t>Government announced that it would repeal the RMA and enact new legislation based on the recommendations of an expert review panel lead by Honourable Tony Randerson KC.</w:t>
      </w:r>
    </w:p>
    <w:p w14:paraId="1163D436" w14:textId="77777777" w:rsidR="00F12615" w:rsidRPr="0058542D" w:rsidRDefault="00F12615" w:rsidP="00F12615">
      <w:pPr>
        <w:pStyle w:val="NTUnoindentNormal"/>
      </w:pPr>
      <w:r w:rsidRPr="0058542D">
        <w:t>Repeal of the Resource Management Act w</w:t>
      </w:r>
      <w:r>
        <w:t xml:space="preserve">ould </w:t>
      </w:r>
      <w:r w:rsidRPr="0058542D">
        <w:t>enact three new pieces of legislation:</w:t>
      </w:r>
    </w:p>
    <w:p w14:paraId="3DD0E63F" w14:textId="77777777" w:rsidR="00F12615" w:rsidRPr="00BE4558" w:rsidRDefault="00F12615" w:rsidP="00F12615">
      <w:pPr>
        <w:pStyle w:val="NTUnoindentNormal"/>
        <w:numPr>
          <w:ilvl w:val="0"/>
          <w:numId w:val="38"/>
        </w:numPr>
      </w:pPr>
      <w:r>
        <w:t xml:space="preserve">The </w:t>
      </w:r>
      <w:r w:rsidRPr="00BE4558">
        <w:t>Spatial Planning Act (SPA) which requires the development of long-term regional spatial strategies to help coordinate and integrate decisions made under relevant legislation</w:t>
      </w:r>
      <w:r>
        <w:t>;</w:t>
      </w:r>
    </w:p>
    <w:p w14:paraId="121DD56F" w14:textId="77777777" w:rsidR="00F12615" w:rsidRPr="00BE4558" w:rsidRDefault="00F12615" w:rsidP="00F12615">
      <w:pPr>
        <w:pStyle w:val="NTUnoindentNormal"/>
        <w:numPr>
          <w:ilvl w:val="0"/>
          <w:numId w:val="38"/>
        </w:numPr>
      </w:pPr>
      <w:r>
        <w:t xml:space="preserve">The </w:t>
      </w:r>
      <w:r w:rsidRPr="00BE4558">
        <w:t>Natural and Built Environment Act (NBA), the main replacement for the RMA, to protect and restore the environment while better enabling development</w:t>
      </w:r>
      <w:r>
        <w:t>; and</w:t>
      </w:r>
    </w:p>
    <w:p w14:paraId="1D91AEEF" w14:textId="77777777" w:rsidR="00F12615" w:rsidRPr="00BE4558" w:rsidRDefault="00F12615" w:rsidP="00F12615">
      <w:pPr>
        <w:pStyle w:val="NTUnoindentNormal"/>
        <w:numPr>
          <w:ilvl w:val="0"/>
          <w:numId w:val="38"/>
        </w:numPr>
      </w:pPr>
      <w:r>
        <w:t xml:space="preserve">The </w:t>
      </w:r>
      <w:r w:rsidRPr="00BE4558">
        <w:t>Climate Adaptation Act (CAA) to address complex issues associated with managed retreat, and funding and financing climate adaptation.</w:t>
      </w:r>
    </w:p>
    <w:p w14:paraId="78F0D5B8" w14:textId="77777777" w:rsidR="00F12615" w:rsidRPr="00F12615" w:rsidRDefault="00F12615" w:rsidP="00F12615">
      <w:pPr>
        <w:pStyle w:val="NTUnoindentNormal"/>
      </w:pPr>
      <w:r w:rsidRPr="00F12615">
        <w:t>The NBA and SPA Bills were introduced to Parliament on 15 November 2022, and received their second reading on 18 July 2023 and their third reading on 16 August 2023. The SPA and NBA began coming into effect on 24 August 2023, including the following changes:</w:t>
      </w:r>
    </w:p>
    <w:p w14:paraId="4A43FE50" w14:textId="77777777" w:rsidR="00F12615" w:rsidRPr="00F12615" w:rsidRDefault="00F12615" w:rsidP="00F12615">
      <w:pPr>
        <w:pStyle w:val="NTUnoindentNormal"/>
        <w:numPr>
          <w:ilvl w:val="0"/>
          <w:numId w:val="38"/>
        </w:numPr>
      </w:pPr>
      <w:r w:rsidRPr="00F12615">
        <w:t>Fast-track consenting for certain housing and infrastructure developments</w:t>
      </w:r>
    </w:p>
    <w:p w14:paraId="2D801051" w14:textId="77777777" w:rsidR="00F12615" w:rsidRPr="00F12615" w:rsidRDefault="00F12615" w:rsidP="00F12615">
      <w:pPr>
        <w:pStyle w:val="NTUnoindentNormal"/>
        <w:numPr>
          <w:ilvl w:val="0"/>
          <w:numId w:val="38"/>
        </w:numPr>
      </w:pPr>
      <w:r w:rsidRPr="00F12615">
        <w:lastRenderedPageBreak/>
        <w:t>A new maximum duration for new freshwater-related consents</w:t>
      </w:r>
    </w:p>
    <w:p w14:paraId="24FEB152" w14:textId="77777777" w:rsidR="00F12615" w:rsidRPr="00F12615" w:rsidRDefault="00F12615" w:rsidP="00F12615">
      <w:pPr>
        <w:pStyle w:val="NTUnoindentNormal"/>
        <w:numPr>
          <w:ilvl w:val="0"/>
          <w:numId w:val="38"/>
        </w:numPr>
      </w:pPr>
      <w:r w:rsidRPr="00F12615">
        <w:t>Changes to council enforcement powers and penalties</w:t>
      </w:r>
    </w:p>
    <w:p w14:paraId="59E54B9D" w14:textId="77777777" w:rsidR="00F12615" w:rsidRPr="00F12615" w:rsidRDefault="00F12615" w:rsidP="00F12615">
      <w:pPr>
        <w:pStyle w:val="NTUnoindentNormal"/>
        <w:numPr>
          <w:ilvl w:val="0"/>
          <w:numId w:val="38"/>
        </w:numPr>
      </w:pPr>
      <w:r w:rsidRPr="00F12615">
        <w:t>Changes to the management of contaminated land</w:t>
      </w:r>
    </w:p>
    <w:p w14:paraId="4C92A20C" w14:textId="77777777" w:rsidR="00F12615" w:rsidRPr="00F12615" w:rsidRDefault="00F12615" w:rsidP="00F12615">
      <w:pPr>
        <w:pStyle w:val="NTUnoindentNormal"/>
        <w:numPr>
          <w:ilvl w:val="0"/>
          <w:numId w:val="38"/>
        </w:numPr>
      </w:pPr>
      <w:r w:rsidRPr="00F12615">
        <w:t>Changes to aquaculture management</w:t>
      </w:r>
    </w:p>
    <w:p w14:paraId="305F824C" w14:textId="77777777" w:rsidR="00F12615" w:rsidRPr="00F12615" w:rsidRDefault="00F12615" w:rsidP="00F12615">
      <w:pPr>
        <w:pStyle w:val="NTUnoindentNormal"/>
        <w:numPr>
          <w:ilvl w:val="0"/>
          <w:numId w:val="38"/>
        </w:numPr>
      </w:pPr>
      <w:r w:rsidRPr="00F12615">
        <w:t>Changes to who can apply to be a requiring authority</w:t>
      </w:r>
    </w:p>
    <w:p w14:paraId="5B167294" w14:textId="77777777" w:rsidR="00F12615" w:rsidRPr="00D4565D" w:rsidRDefault="00F12615" w:rsidP="00F12615">
      <w:pPr>
        <w:pStyle w:val="NTUnoindentNormal"/>
      </w:pPr>
      <w:r>
        <w:t xml:space="preserve">Labour Government intent was that the </w:t>
      </w:r>
      <w:r w:rsidRPr="00D4565D">
        <w:t xml:space="preserve">NBA and SPA </w:t>
      </w:r>
      <w:r>
        <w:t>would gradually ‘phase in’ over about a 10-year period.</w:t>
      </w:r>
    </w:p>
    <w:p w14:paraId="073670DC" w14:textId="77777777" w:rsidR="00F12615" w:rsidRDefault="00F12615" w:rsidP="00F12615">
      <w:pPr>
        <w:pStyle w:val="NTUnoindentNormal"/>
      </w:pPr>
      <w:r>
        <w:t>However, the new National-led coalition Government has stated that it will repeal the Labour Party’s RMA replacement Bills by the end of 2023. Whether or not this happens at all, or within the timeframes stated by the new Government does mean that we are in a period of uncertainty in relation to RMA reform, despite the SPA and NBE having come into law earlier this year.</w:t>
      </w:r>
    </w:p>
    <w:p w14:paraId="4E945A46" w14:textId="77777777" w:rsidR="00F12615" w:rsidRDefault="00F12615" w:rsidP="00F12615">
      <w:pPr>
        <w:pStyle w:val="NTUnoindentNormal"/>
      </w:pPr>
      <w:r>
        <w:t>The National Party has also stated that it is committed to its own RMA reform process. Very limited details have been provided around what this could look like and further detail is awaited in this regard. In the meantime, we can expect a short-term slow-down or ‘hold’ position in RMA reform.</w:t>
      </w:r>
    </w:p>
    <w:p w14:paraId="5651AEED" w14:textId="77777777" w:rsidR="00B96455" w:rsidRPr="00C746B2" w:rsidRDefault="00B96455" w:rsidP="00B96455">
      <w:pPr>
        <w:pStyle w:val="NTUNoNumbers-H3"/>
      </w:pPr>
      <w:r w:rsidRPr="00C746B2">
        <w:t xml:space="preserve">Te Mana o te Wai </w:t>
      </w:r>
    </w:p>
    <w:p w14:paraId="048315FE" w14:textId="6BCCE0C5" w:rsidR="00B96455" w:rsidRDefault="00B96455" w:rsidP="00B96455">
      <w:pPr>
        <w:pStyle w:val="NTUnoindentNormal"/>
      </w:pPr>
      <w:r>
        <w:t>Te Mana o te Wai is a fundamental concept introduced by the National Policy Statement for Freshwater Management (NPS-FM), and that underpins current national direction for freshwater management across New Zealand.</w:t>
      </w:r>
    </w:p>
    <w:p w14:paraId="19247FBD" w14:textId="77777777" w:rsidR="00B96455" w:rsidRDefault="00B96455" w:rsidP="00B96455">
      <w:pPr>
        <w:pStyle w:val="NTUnoindentNormal"/>
      </w:pPr>
      <w:r>
        <w:t>Te Mana o te Wai refers to the fundamental importance of water and recognises that protecting the health of freshwater protects the health and well-being of the wider environment. It protects the mauri of the wai.</w:t>
      </w:r>
    </w:p>
    <w:p w14:paraId="2D080383" w14:textId="77777777" w:rsidR="00B96455" w:rsidRDefault="00B96455" w:rsidP="00B96455">
      <w:pPr>
        <w:pStyle w:val="NTUnoindentNormal"/>
      </w:pPr>
      <w:r>
        <w:t>Te Mana o te Wai is about restoring and preserving the balance between the water, the wider environment, and the community. Te mana o te Wai It is a concept that is relevant to all freshwater management and the NPS-FM establishes a hierarchy of obligations that prioritises:</w:t>
      </w:r>
    </w:p>
    <w:p w14:paraId="55D8CA68" w14:textId="11F02FBD" w:rsidR="00B96455" w:rsidRDefault="00B96455" w:rsidP="00A2368F">
      <w:pPr>
        <w:pStyle w:val="NTUanumberingindent1"/>
        <w:numPr>
          <w:ilvl w:val="0"/>
          <w:numId w:val="37"/>
        </w:numPr>
        <w:ind w:left="964"/>
      </w:pPr>
      <w:r>
        <w:t>First, the health and well-being of water bodies and freshwater ecosystems;</w:t>
      </w:r>
    </w:p>
    <w:p w14:paraId="385844AE" w14:textId="2154F40B" w:rsidR="00B96455" w:rsidRDefault="00B96455" w:rsidP="00B96455">
      <w:pPr>
        <w:pStyle w:val="NTUanumberingindent1"/>
        <w:numPr>
          <w:ilvl w:val="0"/>
          <w:numId w:val="37"/>
        </w:numPr>
        <w:ind w:left="964"/>
      </w:pPr>
      <w:r>
        <w:t>Second, the health needs of people (such as drinking water); and</w:t>
      </w:r>
    </w:p>
    <w:p w14:paraId="0C8571B1" w14:textId="4BE515EC" w:rsidR="00B96455" w:rsidRPr="00B96455" w:rsidRDefault="00B96455" w:rsidP="00B96455">
      <w:pPr>
        <w:pStyle w:val="NTUanumberingindent1"/>
        <w:numPr>
          <w:ilvl w:val="0"/>
          <w:numId w:val="37"/>
        </w:numPr>
        <w:ind w:left="964"/>
      </w:pPr>
      <w:r>
        <w:t>Third, the ability of people and communities to provide for their social, economic, and cultural well-being, now and in the future.</w:t>
      </w:r>
    </w:p>
    <w:p w14:paraId="74E79CE2" w14:textId="7A2A642C" w:rsidR="00B96455" w:rsidRDefault="00F60DED" w:rsidP="00B96455">
      <w:pPr>
        <w:pStyle w:val="NTUnoindentNormal"/>
      </w:pPr>
      <w:r>
        <w:t>Every regional council must engage with communities and tangata whenua to determine how Te Mana o te Wai applies to water bodies and freshwater ecosystems in the region.</w:t>
      </w:r>
      <w:r w:rsidRPr="00F60DED">
        <w:t xml:space="preserve"> </w:t>
      </w:r>
      <w:r>
        <w:t>Every regional council must give effect to Te Mana o te Wai, including applying the hierarchy of obligations that prioritises the health and well-being of water bodies and freshwater ecosystems above everything else.</w:t>
      </w:r>
    </w:p>
    <w:p w14:paraId="1A51FFF1" w14:textId="77777777" w:rsidR="00966C63" w:rsidRDefault="00A67A99" w:rsidP="00B96455">
      <w:pPr>
        <w:pStyle w:val="NTUnoindentNormal"/>
      </w:pPr>
      <w:r>
        <w:t>The concept of Te Mana o te Wai</w:t>
      </w:r>
      <w:r w:rsidR="0019778F">
        <w:t xml:space="preserve"> is given effect to by the National Environmental Standard</w:t>
      </w:r>
      <w:r w:rsidR="00966C63">
        <w:t>s</w:t>
      </w:r>
      <w:r w:rsidR="0019778F">
        <w:t xml:space="preserve"> for Freshwater (the NES-F)</w:t>
      </w:r>
      <w:r w:rsidR="00966C63">
        <w:t xml:space="preserve"> </w:t>
      </w:r>
      <w:r w:rsidR="0019778F">
        <w:t>set</w:t>
      </w:r>
      <w:r w:rsidR="00966C63">
        <w:t>s</w:t>
      </w:r>
      <w:r w:rsidR="0019778F">
        <w:t xml:space="preserve"> o</w:t>
      </w:r>
      <w:r w:rsidR="00966C63">
        <w:t xml:space="preserve">ut </w:t>
      </w:r>
      <w:r w:rsidR="00966C63" w:rsidRPr="00966C63">
        <w:t>standards to regulate activities that pose risks to the health of freshwater and freshwater ecosystems.</w:t>
      </w:r>
      <w:r w:rsidR="00966C63">
        <w:t xml:space="preserve"> The standards contained in the NES-F override the rules, standards and controls contained in district and regional plans and introduce a requirement to protect and enhance freshwater.</w:t>
      </w:r>
    </w:p>
    <w:p w14:paraId="43B36575" w14:textId="77777777" w:rsidR="00595D60" w:rsidRDefault="00966C63" w:rsidP="00B96455">
      <w:pPr>
        <w:pStyle w:val="NTUnoindentNormal"/>
      </w:pPr>
      <w:r>
        <w:t xml:space="preserve">The implication of the NPS-FM and NES-F for </w:t>
      </w:r>
      <w:r w:rsidRPr="00665933">
        <w:t>design engineers, developers</w:t>
      </w:r>
      <w:r>
        <w:t xml:space="preserve"> and</w:t>
      </w:r>
      <w:r w:rsidRPr="00665933">
        <w:t xml:space="preserve"> contractors</w:t>
      </w:r>
      <w:r>
        <w:t xml:space="preserve"> in delivering stormwater, wastewater and water infrastructure is that the concept of Te Mana o te Wai, specifically the need to prioritise the health and well-being of water bodies and freshwater ecosystems, must be considered at all stages of the process, from design through consenting/approvals processes to procurement, construction, operation/maintenance and decommissioning.</w:t>
      </w:r>
    </w:p>
    <w:p w14:paraId="29A004A3" w14:textId="40C43F0B" w:rsidR="00F60DED" w:rsidRDefault="00966C63" w:rsidP="00B96455">
      <w:pPr>
        <w:pStyle w:val="NTUnoindentNormal"/>
        <w:rPr>
          <w:highlight w:val="yellow"/>
        </w:rPr>
      </w:pPr>
      <w:r>
        <w:lastRenderedPageBreak/>
        <w:t>Most important however, is the need to consider and adopt the concept of Te Mana o te Wai in the planning and design stages of infrastructure delivery</w:t>
      </w:r>
      <w:r w:rsidR="00595D60">
        <w:t xml:space="preserve">, in the assessment of options and in the design and consenting phases where the physical effects of infrastructure on the receiving environment, including discharges, must be fully assessed under the NPS-FM and NES-F. </w:t>
      </w:r>
      <w:r>
        <w:t xml:space="preserve"> </w:t>
      </w:r>
    </w:p>
    <w:p w14:paraId="16B09224" w14:textId="766752FD" w:rsidR="00B96455" w:rsidRPr="002D5BE7" w:rsidRDefault="00B96455" w:rsidP="00B96455">
      <w:pPr>
        <w:pStyle w:val="NTUnoindentNormal"/>
        <w:rPr>
          <w:highlight w:val="yellow"/>
        </w:rPr>
      </w:pPr>
      <w:r w:rsidRPr="002D5BE7">
        <w:rPr>
          <w:highlight w:val="yellow"/>
        </w:rPr>
        <w:t xml:space="preserve">The concept of Te Mana o te Wai is not new for Māori. For generations Māori have continued to hold the principle of restoring and protecting the mauri (life force) of the wai (water) at the forefront of decisions. The development and architecture of Te Mana o te Wai was purposeful and deliberate. Therefore, its application should be purposeful and deliberate in the decisions related to the NEDS as it relates to water, wastewater, and stormwater reticulation infrastructure.  </w:t>
      </w:r>
    </w:p>
    <w:p w14:paraId="0EE332F7" w14:textId="77777777" w:rsidR="00B96455" w:rsidRPr="002D5BE7" w:rsidRDefault="00B96455" w:rsidP="00B96455">
      <w:pPr>
        <w:pStyle w:val="NTUnoindentNormal"/>
        <w:rPr>
          <w:highlight w:val="yellow"/>
        </w:rPr>
      </w:pPr>
      <w:r w:rsidRPr="002D5BE7">
        <w:rPr>
          <w:highlight w:val="yellow"/>
        </w:rPr>
        <w:t>Te Mana o te Wai is a guiding principle for each entity to make decisions (and report) on how best to deliver water services to all communities. Under the Act, Te Mana o te Wai has the meaning set out in the NPS-FM</w:t>
      </w:r>
      <w:r w:rsidRPr="002D5BE7">
        <w:rPr>
          <w:highlight w:val="yellow"/>
        </w:rPr>
        <w:footnoteReference w:id="1"/>
      </w:r>
      <w:r w:rsidRPr="002D5BE7">
        <w:rPr>
          <w:highlight w:val="yellow"/>
        </w:rPr>
        <w:t>.</w:t>
      </w:r>
    </w:p>
    <w:p w14:paraId="3D26F6F0" w14:textId="77777777" w:rsidR="00B96455" w:rsidRPr="002D5BE7" w:rsidRDefault="00B96455" w:rsidP="00B96455">
      <w:pPr>
        <w:pStyle w:val="NTUnoindentNormal"/>
        <w:rPr>
          <w:highlight w:val="yellow"/>
        </w:rPr>
      </w:pPr>
      <w:r w:rsidRPr="002D5BE7">
        <w:rPr>
          <w:rFonts w:cstheme="minorHAnsi"/>
          <w:sz w:val="21"/>
          <w:szCs w:val="21"/>
          <w:highlight w:val="yellow"/>
          <w:lang w:val="en-US"/>
        </w:rPr>
        <w:t xml:space="preserve">Te </w:t>
      </w:r>
      <w:r w:rsidRPr="002D5BE7">
        <w:rPr>
          <w:highlight w:val="yellow"/>
        </w:rPr>
        <w:t xml:space="preserve">Mana o te Wai is a concept that refers to the fundamental importance of water and recognises that protecting the health of freshwater protects the health and well-being of the wider environment. Te Mana o te Wai is about restoring and preserving the balance between the water, the wider environment, and the community. </w:t>
      </w:r>
    </w:p>
    <w:p w14:paraId="1ADC1A6D" w14:textId="77777777" w:rsidR="00B96455" w:rsidRPr="002D5BE7" w:rsidRDefault="00B96455" w:rsidP="00B96455">
      <w:pPr>
        <w:pStyle w:val="NTUnoindentNormal"/>
        <w:rPr>
          <w:highlight w:val="yellow"/>
        </w:rPr>
      </w:pPr>
      <w:r w:rsidRPr="002D5BE7">
        <w:rPr>
          <w:highlight w:val="yellow"/>
        </w:rPr>
        <w:t xml:space="preserve">Te Mana o te Wai is relevant to all freshwater management and not just to the specific aspects of freshwater management referred to in this National Policy Statement. Te Mana o te Wai reflects a hierarchy of obligations, firstly to the health of the water, secondly to the health needs of people and thirdly the wellbeing of communities. Achieving the balance of all three obligations will better advance a collective advancement of Te Mana o te Wai. </w:t>
      </w:r>
    </w:p>
    <w:p w14:paraId="08EE74C8" w14:textId="77777777" w:rsidR="00B96455" w:rsidRPr="002D5BE7" w:rsidRDefault="00B96455" w:rsidP="00B96455">
      <w:pPr>
        <w:pStyle w:val="NTUnoindentNormal"/>
        <w:rPr>
          <w:highlight w:val="yellow"/>
        </w:rPr>
      </w:pPr>
      <w:r w:rsidRPr="002D5BE7">
        <w:rPr>
          <w:noProof/>
          <w:highlight w:val="yellow"/>
        </w:rPr>
        <w:drawing>
          <wp:inline distT="0" distB="0" distL="0" distR="0" wp14:anchorId="2621009D" wp14:editId="5B213E08">
            <wp:extent cx="5860521" cy="3384645"/>
            <wp:effectExtent l="0" t="0" r="6985" b="6350"/>
            <wp:docPr id="269396721" name="Picture 269396721" descr="A blue and white circular objec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85985" name="Picture 486285985" descr="A blue and white circular object with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878759" cy="3395178"/>
                    </a:xfrm>
                    <a:prstGeom prst="rect">
                      <a:avLst/>
                    </a:prstGeom>
                  </pic:spPr>
                </pic:pic>
              </a:graphicData>
            </a:graphic>
          </wp:inline>
        </w:drawing>
      </w:r>
    </w:p>
    <w:p w14:paraId="3F02E470" w14:textId="77777777" w:rsidR="00B96455" w:rsidRPr="002D5BE7" w:rsidRDefault="00B96455" w:rsidP="00B96455">
      <w:pPr>
        <w:pStyle w:val="NTUFigure"/>
        <w:ind w:firstLine="0"/>
        <w:rPr>
          <w:highlight w:val="yellow"/>
        </w:rPr>
      </w:pPr>
      <w:r w:rsidRPr="002D5BE7">
        <w:rPr>
          <w:highlight w:val="yellow"/>
        </w:rPr>
        <w:t>Figure 0-1 Te Mana o te Wai obligations and principles</w:t>
      </w:r>
    </w:p>
    <w:p w14:paraId="6D0276F9" w14:textId="77777777" w:rsidR="00B96455" w:rsidRPr="002D5BE7" w:rsidRDefault="00B96455" w:rsidP="00B96455">
      <w:pPr>
        <w:pStyle w:val="NTUnoindentNormal"/>
        <w:rPr>
          <w:highlight w:val="yellow"/>
        </w:rPr>
      </w:pPr>
      <w:r w:rsidRPr="002D5BE7">
        <w:rPr>
          <w:highlight w:val="yellow"/>
        </w:rPr>
        <w:lastRenderedPageBreak/>
        <w:t>Te Mana o te Wai provides a korowai, or protective cloak, over all water bodies in Aotearoa New Zealand, with each</w:t>
      </w:r>
      <w:r w:rsidRPr="002D5BE7">
        <w:rPr>
          <w:rFonts w:cstheme="minorHAnsi"/>
          <w:sz w:val="21"/>
          <w:szCs w:val="21"/>
          <w:highlight w:val="yellow"/>
          <w:lang w:val="en-US"/>
        </w:rPr>
        <w:t xml:space="preserve"> </w:t>
      </w:r>
      <w:r w:rsidRPr="002D5BE7">
        <w:rPr>
          <w:highlight w:val="yellow"/>
        </w:rPr>
        <w:t xml:space="preserve">respective iwi and hapū to determine their expression of the concept, and manner in which it should be implemented. Under s143 of the Act, mana whenua may provide Te Mana o te Wai statements to a entity. The entity is required to respond to Te Mana o te Wai statements from mana whenua who elect to submit one. </w:t>
      </w:r>
    </w:p>
    <w:p w14:paraId="129B29F1" w14:textId="77777777" w:rsidR="00B96455" w:rsidRPr="002D5BE7" w:rsidRDefault="00B96455" w:rsidP="00B96455">
      <w:pPr>
        <w:pStyle w:val="NTUMasterNormal"/>
        <w:ind w:left="0"/>
        <w:rPr>
          <w:highlight w:val="yellow"/>
          <w:lang w:val="en-GB" w:eastAsia="en-US"/>
        </w:rPr>
      </w:pPr>
      <w:r w:rsidRPr="002D5BE7">
        <w:rPr>
          <w:highlight w:val="yellow"/>
          <w:lang w:val="en-GB" w:eastAsia="en-US"/>
        </w:rPr>
        <w:t xml:space="preserve">The NEDS focusses on reticulation. When considering the application of Te Mana o te Wai, it is appropriate to consider associated activities with the upgrade, decommissioning, commissioning, and construction of reticulation assets. This includes designation of assets to places that are appropriate and determined by mana whenua, appropriate installation methods that do not impact the mauri of an area, preferably no impact on waterways or mahinga kai associated with an area and should always demonstrate an outcome with ‘betterment’ in mind. </w:t>
      </w:r>
    </w:p>
    <w:p w14:paraId="65A4C336" w14:textId="77777777" w:rsidR="00B96455" w:rsidRPr="002D5BE7" w:rsidRDefault="00B96455" w:rsidP="00B96455">
      <w:pPr>
        <w:pStyle w:val="NTUMasterNormal"/>
        <w:ind w:left="0"/>
        <w:rPr>
          <w:highlight w:val="yellow"/>
          <w:lang w:val="en-GB" w:eastAsia="en-US"/>
        </w:rPr>
      </w:pPr>
      <w:r w:rsidRPr="002D5BE7">
        <w:rPr>
          <w:highlight w:val="yellow"/>
          <w:lang w:val="en-GB" w:eastAsia="en-US"/>
        </w:rPr>
        <w:t>Although the statements from mana whenua will not be available for response by the entities until establishment date, it is the intention of the NEDS to advance Te Mana o te Wai through the following:</w:t>
      </w:r>
    </w:p>
    <w:p w14:paraId="7CE1E573" w14:textId="77777777" w:rsidR="00B96455" w:rsidRPr="00885A59" w:rsidRDefault="00B96455" w:rsidP="00B96455">
      <w:pPr>
        <w:pStyle w:val="NTUanumberingindent1"/>
        <w:ind w:left="357" w:hanging="357"/>
      </w:pPr>
      <w:r w:rsidRPr="00885A59">
        <w:rPr>
          <w:highlight w:val="yellow"/>
        </w:rPr>
        <w:t>1. Te Mana o te Wai is at the forefront of the design and construction process</w:t>
      </w:r>
    </w:p>
    <w:p w14:paraId="012C7021" w14:textId="77777777" w:rsidR="00B96455" w:rsidRPr="002D5BE7" w:rsidRDefault="00B96455" w:rsidP="00F12615">
      <w:pPr>
        <w:pStyle w:val="NTUanumberingindent1"/>
        <w:numPr>
          <w:ilvl w:val="0"/>
          <w:numId w:val="35"/>
        </w:numPr>
        <w:ind w:left="964"/>
        <w:rPr>
          <w:highlight w:val="yellow"/>
        </w:rPr>
      </w:pPr>
      <w:r w:rsidRPr="002D5BE7">
        <w:rPr>
          <w:highlight w:val="yellow"/>
        </w:rPr>
        <w:t>Mana whenua should be informed of all new activities associated with reticulation infrastructure</w:t>
      </w:r>
    </w:p>
    <w:p w14:paraId="20D66580" w14:textId="77777777" w:rsidR="00B96455" w:rsidRPr="002D5BE7" w:rsidRDefault="00B96455" w:rsidP="00F12615">
      <w:pPr>
        <w:pStyle w:val="NTUanumberingindent1"/>
        <w:numPr>
          <w:ilvl w:val="0"/>
          <w:numId w:val="37"/>
        </w:numPr>
        <w:ind w:left="964"/>
        <w:rPr>
          <w:highlight w:val="yellow"/>
        </w:rPr>
      </w:pPr>
      <w:r w:rsidRPr="002D5BE7">
        <w:rPr>
          <w:highlight w:val="yellow"/>
        </w:rPr>
        <w:t>Responsible agents will take into account the relevant objectives of any associated Iwi Environmental Plan</w:t>
      </w:r>
    </w:p>
    <w:p w14:paraId="5C00AC3A" w14:textId="77777777" w:rsidR="00B96455" w:rsidRPr="002D5BE7" w:rsidRDefault="00B96455" w:rsidP="00F12615">
      <w:pPr>
        <w:pStyle w:val="NTUanumberingindent1"/>
        <w:numPr>
          <w:ilvl w:val="0"/>
          <w:numId w:val="37"/>
        </w:numPr>
        <w:ind w:left="964"/>
        <w:rPr>
          <w:highlight w:val="yellow"/>
        </w:rPr>
      </w:pPr>
      <w:r w:rsidRPr="002D5BE7">
        <w:rPr>
          <w:highlight w:val="yellow"/>
        </w:rPr>
        <w:t>The NEDS sets a best practice standard that is fit for purpose, prior to being vested by the entity</w:t>
      </w:r>
    </w:p>
    <w:p w14:paraId="20DC126A" w14:textId="77777777" w:rsidR="00B96455" w:rsidRPr="002D5BE7" w:rsidRDefault="00B96455" w:rsidP="00F12615">
      <w:pPr>
        <w:pStyle w:val="NTUanumberingindent1"/>
        <w:numPr>
          <w:ilvl w:val="0"/>
          <w:numId w:val="37"/>
        </w:numPr>
        <w:ind w:left="964"/>
        <w:rPr>
          <w:highlight w:val="yellow"/>
        </w:rPr>
      </w:pPr>
      <w:r w:rsidRPr="002D5BE7">
        <w:rPr>
          <w:highlight w:val="yellow"/>
        </w:rPr>
        <w:t>For any new reticulation infrastructure:</w:t>
      </w:r>
    </w:p>
    <w:p w14:paraId="35BB2681" w14:textId="77777777" w:rsidR="00B96455" w:rsidRPr="002D5BE7" w:rsidRDefault="00B96455" w:rsidP="00F12615">
      <w:pPr>
        <w:pStyle w:val="NTUiibullet"/>
        <w:tabs>
          <w:tab w:val="clear" w:pos="360"/>
        </w:tabs>
        <w:ind w:left="1491" w:hanging="357"/>
        <w:rPr>
          <w:highlight w:val="yellow"/>
          <w:lang w:val="en-US" w:eastAsia="en-NZ"/>
        </w:rPr>
      </w:pPr>
      <w:r w:rsidRPr="002D5BE7">
        <w:rPr>
          <w:highlight w:val="yellow"/>
          <w:lang w:val="en-US" w:eastAsia="en-NZ"/>
        </w:rPr>
        <w:t>Mana whenua will be engaged to advise on appropriate designation, application of tikanga and cultural protocols to apply</w:t>
      </w:r>
    </w:p>
    <w:p w14:paraId="67C0ECF7" w14:textId="77777777" w:rsidR="00B96455" w:rsidRPr="002D5BE7" w:rsidRDefault="00B96455" w:rsidP="00F12615">
      <w:pPr>
        <w:pStyle w:val="NTUiibullet"/>
        <w:tabs>
          <w:tab w:val="clear" w:pos="360"/>
        </w:tabs>
        <w:ind w:left="1491" w:hanging="357"/>
        <w:rPr>
          <w:highlight w:val="yellow"/>
          <w:lang w:val="en-US" w:eastAsia="en-NZ"/>
        </w:rPr>
      </w:pPr>
      <w:r w:rsidRPr="002D5BE7">
        <w:rPr>
          <w:highlight w:val="yellow"/>
          <w:lang w:val="en-US" w:eastAsia="en-NZ"/>
        </w:rPr>
        <w:t>best practice design will apply and be suitable for its place</w:t>
      </w:r>
    </w:p>
    <w:p w14:paraId="6F4FB238" w14:textId="77777777" w:rsidR="00B96455" w:rsidRPr="002D5BE7" w:rsidRDefault="00B96455" w:rsidP="00B96455">
      <w:pPr>
        <w:pStyle w:val="NTUMasterNormal"/>
        <w:ind w:left="0"/>
        <w:rPr>
          <w:highlight w:val="yellow"/>
          <w:lang w:val="en-GB" w:eastAsia="en-US"/>
        </w:rPr>
      </w:pPr>
      <w:r w:rsidRPr="002D5BE7">
        <w:rPr>
          <w:highlight w:val="yellow"/>
          <w:lang w:val="en-GB" w:eastAsia="en-US"/>
        </w:rPr>
        <w:t xml:space="preserve">Entities will consider the application of Te Mana o te Wai Statements to infrastructure as they are received. </w:t>
      </w:r>
    </w:p>
    <w:p w14:paraId="5F74FD29" w14:textId="77777777" w:rsidR="00B96455" w:rsidRPr="009D40A6" w:rsidRDefault="00B96455" w:rsidP="00B96455">
      <w:pPr>
        <w:pStyle w:val="NTUMasterNormal"/>
        <w:rPr>
          <w:lang w:val="en-GB" w:eastAsia="en-US"/>
        </w:rPr>
      </w:pPr>
      <w:r w:rsidRPr="002D5BE7">
        <w:rPr>
          <w:highlight w:val="yellow"/>
          <w:lang w:val="en-GB" w:eastAsia="en-US"/>
        </w:rPr>
        <w:t>These considerations should be considered only as guidance, and do not supersede direction and advice provided by mana whenua.</w:t>
      </w:r>
      <w:r w:rsidRPr="009D40A6">
        <w:rPr>
          <w:lang w:val="en-GB" w:eastAsia="en-US"/>
        </w:rPr>
        <w:t xml:space="preserve"> </w:t>
      </w:r>
    </w:p>
    <w:p w14:paraId="5BBFB966" w14:textId="77777777" w:rsidR="00B72F45" w:rsidRDefault="00B72F45" w:rsidP="00B72F45">
      <w:pPr>
        <w:pStyle w:val="NTUNoNumbers-H3"/>
      </w:pPr>
      <w:bookmarkStart w:id="25" w:name="_Toc145948917"/>
      <w:bookmarkEnd w:id="18"/>
      <w:bookmarkEnd w:id="24"/>
      <w:r>
        <w:t>Water Services Entities Amendment Bill</w:t>
      </w:r>
      <w:bookmarkEnd w:id="25"/>
    </w:p>
    <w:p w14:paraId="65386814" w14:textId="77777777" w:rsidR="00B72F45" w:rsidRDefault="00B72F45" w:rsidP="00B72F45">
      <w:pPr>
        <w:pStyle w:val="NTUnoindentNormal"/>
      </w:pPr>
      <w:r>
        <w:t>At the time of writing the Water Services Entities Amendment Bill was still in progress.  The Bill proposes a development code, refer Sections 293 and 294 of the Bill.</w:t>
      </w:r>
    </w:p>
    <w:p w14:paraId="3FFDA1EE" w14:textId="77777777" w:rsidR="00B72F45" w:rsidRDefault="00B72F45" w:rsidP="00B72F45">
      <w:pPr>
        <w:pStyle w:val="NTUnoindentNormal"/>
      </w:pPr>
      <w:r>
        <w:t>The development code is to specify:</w:t>
      </w:r>
    </w:p>
    <w:p w14:paraId="0039F910" w14:textId="77777777" w:rsidR="00B72F45" w:rsidRPr="00275E0B" w:rsidRDefault="00B72F45" w:rsidP="00885A59">
      <w:pPr>
        <w:pStyle w:val="NTUanumberingindent1"/>
        <w:numPr>
          <w:ilvl w:val="0"/>
          <w:numId w:val="5"/>
        </w:numPr>
        <w:ind w:left="1531"/>
      </w:pPr>
      <w:r w:rsidRPr="00275E0B">
        <w:t>the information that needs to be provided by applicants for the infrastructure connection process:</w:t>
      </w:r>
    </w:p>
    <w:p w14:paraId="4B1486DF" w14:textId="77777777" w:rsidR="00B72F45" w:rsidRPr="00275E0B" w:rsidRDefault="00B72F45" w:rsidP="00B96455">
      <w:pPr>
        <w:pStyle w:val="NTUanumberingindent1"/>
        <w:numPr>
          <w:ilvl w:val="0"/>
          <w:numId w:val="37"/>
        </w:numPr>
        <w:ind w:left="1531"/>
      </w:pPr>
      <w:r w:rsidRPr="00275E0B">
        <w:t>the criteria for granting extensions to how long approvals are valid for and any further conditions on which an extension may be granted:</w:t>
      </w:r>
    </w:p>
    <w:p w14:paraId="6D86EB5B" w14:textId="77777777" w:rsidR="00B72F45" w:rsidRPr="00275E0B" w:rsidRDefault="00B72F45" w:rsidP="00B96455">
      <w:pPr>
        <w:pStyle w:val="NTUanumberingindent1"/>
        <w:numPr>
          <w:ilvl w:val="0"/>
          <w:numId w:val="37"/>
        </w:numPr>
        <w:ind w:left="1531"/>
      </w:pPr>
      <w:r w:rsidRPr="00275E0B">
        <w:t>applicable engineering design standards – this standard:</w:t>
      </w:r>
    </w:p>
    <w:p w14:paraId="6C00022F" w14:textId="77777777" w:rsidR="00B72F45" w:rsidRPr="00275E0B" w:rsidRDefault="00B72F45" w:rsidP="00B96455">
      <w:pPr>
        <w:pStyle w:val="NTUanumberingindent1"/>
        <w:numPr>
          <w:ilvl w:val="0"/>
          <w:numId w:val="37"/>
        </w:numPr>
        <w:ind w:left="1531"/>
      </w:pPr>
      <w:r w:rsidRPr="00275E0B">
        <w:t>who is considered to be a suitably qualified person to carry out certain types of work:</w:t>
      </w:r>
    </w:p>
    <w:p w14:paraId="5760B64A" w14:textId="77777777" w:rsidR="00B72F45" w:rsidRPr="00275E0B" w:rsidRDefault="00B72F45" w:rsidP="00B96455">
      <w:pPr>
        <w:pStyle w:val="NTUanumberingindent1"/>
        <w:numPr>
          <w:ilvl w:val="0"/>
          <w:numId w:val="37"/>
        </w:numPr>
        <w:ind w:left="1531"/>
      </w:pPr>
      <w:r w:rsidRPr="00275E0B">
        <w:t>show disputes in relation to infrastructure connections or disconnections are to be resolved independently, and in a manner that is timely, practicable, and cost-effective for the parties:</w:t>
      </w:r>
    </w:p>
    <w:p w14:paraId="343E2068" w14:textId="77777777" w:rsidR="00B72F45" w:rsidRPr="00275E0B" w:rsidRDefault="00B72F45" w:rsidP="00B96455">
      <w:pPr>
        <w:pStyle w:val="NTUanumberingindent1"/>
        <w:numPr>
          <w:ilvl w:val="0"/>
          <w:numId w:val="37"/>
        </w:numPr>
        <w:ind w:left="1531"/>
      </w:pPr>
      <w:r w:rsidRPr="00275E0B">
        <w:t>specifying when a network capacity assessment is or is not required:</w:t>
      </w:r>
    </w:p>
    <w:p w14:paraId="4E6E025B" w14:textId="77777777" w:rsidR="00B72F45" w:rsidRPr="00275E0B" w:rsidRDefault="00B72F45" w:rsidP="00B96455">
      <w:pPr>
        <w:pStyle w:val="NTUanumberingindent1"/>
        <w:numPr>
          <w:ilvl w:val="0"/>
          <w:numId w:val="37"/>
        </w:numPr>
        <w:ind w:left="1531"/>
      </w:pPr>
      <w:r w:rsidRPr="00275E0B">
        <w:t>the circumstances in which the entity must be given written approval for an activity, or to an application for a resource consent, under the Resource Management Act 1991:</w:t>
      </w:r>
    </w:p>
    <w:p w14:paraId="6D5D4F52" w14:textId="77777777" w:rsidR="00B72F45" w:rsidRPr="00275E0B" w:rsidRDefault="00B72F45" w:rsidP="00B96455">
      <w:pPr>
        <w:pStyle w:val="NTUanumberingindent1"/>
        <w:numPr>
          <w:ilvl w:val="0"/>
          <w:numId w:val="37"/>
        </w:numPr>
        <w:ind w:left="1531"/>
      </w:pPr>
      <w:r w:rsidRPr="00275E0B">
        <w:t>the criteria for approving an application to vest infrastructure in the water services entity:</w:t>
      </w:r>
    </w:p>
    <w:p w14:paraId="2FB8FD11" w14:textId="77777777" w:rsidR="00B72F45" w:rsidRPr="00275E0B" w:rsidRDefault="00B72F45" w:rsidP="00B96455">
      <w:pPr>
        <w:pStyle w:val="NTUanumberingindent1"/>
        <w:numPr>
          <w:ilvl w:val="0"/>
          <w:numId w:val="37"/>
        </w:numPr>
        <w:ind w:left="1531"/>
      </w:pPr>
      <w:r w:rsidRPr="00275E0B">
        <w:lastRenderedPageBreak/>
        <w:t>providing for any other matter that relates to the infrastructure connection or disconnection process provided for in the Water Services Entities Act.</w:t>
      </w:r>
    </w:p>
    <w:p w14:paraId="66D14DD0" w14:textId="2E6189AB" w:rsidR="00B72F45" w:rsidRPr="00D270EE" w:rsidRDefault="00B72F45" w:rsidP="00B72F45">
      <w:pPr>
        <w:pStyle w:val="NTUNoNumbers-H2"/>
      </w:pPr>
      <w:bookmarkStart w:id="26" w:name="_Toc140852544"/>
      <w:bookmarkStart w:id="27" w:name="_Toc145948918"/>
      <w:r w:rsidRPr="00D270EE">
        <w:t>ADDITIONAL CONSIDERATIONS</w:t>
      </w:r>
      <w:bookmarkEnd w:id="26"/>
      <w:bookmarkEnd w:id="27"/>
    </w:p>
    <w:p w14:paraId="06A32033" w14:textId="77777777" w:rsidR="00B72F45" w:rsidRPr="00D270EE" w:rsidRDefault="00B72F45" w:rsidP="00B72F45">
      <w:pPr>
        <w:pStyle w:val="NTUNoNumbers-H3"/>
      </w:pPr>
      <w:bookmarkStart w:id="28" w:name="_Toc140852545"/>
      <w:bookmarkStart w:id="29" w:name="_Toc145948919"/>
      <w:r w:rsidRPr="00D270EE">
        <w:t>Safety in Design (SiD)</w:t>
      </w:r>
      <w:bookmarkEnd w:id="28"/>
      <w:bookmarkEnd w:id="29"/>
    </w:p>
    <w:p w14:paraId="3B16ECC4" w14:textId="77777777" w:rsidR="00B72F45" w:rsidRPr="00D270EE" w:rsidRDefault="00B72F45" w:rsidP="00B72F45">
      <w:pPr>
        <w:pStyle w:val="NTUnoindentNormal"/>
      </w:pPr>
      <w:r w:rsidRPr="00D270EE">
        <w:t xml:space="preserve">Safety in Design is a practice that integrates risk management techniques into the design process to identify, assess and mitigate health and safety risks to people over the life of an asset. The Safety in Design principle generally extends to incorporating safety in construction, safety in ongoing operation and maintenance and safe disposal and demolition. Over the last 20 years, internationally, it has been increasingly recognised as best practice. In New Zealand, Safety in Design is addressed in the Health and Safety at Work Act 2015, in particular Section 39 (design responsibilities) and Section 34 (consultation). </w:t>
      </w:r>
    </w:p>
    <w:p w14:paraId="7985E36E" w14:textId="77777777" w:rsidR="00B72F45" w:rsidRPr="00D270EE" w:rsidRDefault="00B72F45" w:rsidP="00B72F45">
      <w:pPr>
        <w:pStyle w:val="NTUnoindentNormal"/>
      </w:pPr>
      <w:r w:rsidRPr="00D270EE">
        <w:t xml:space="preserve">Safety in Design should commence early in the design process to eliminate, substantially reduce, or mitigate a hazard by considering the full life cycle of an asset or project in order to minimise the risks of death, injury, or illness to those who will construct, operate, maintain, inspect, decommission, and demolish the asset. </w:t>
      </w:r>
    </w:p>
    <w:p w14:paraId="2072F710" w14:textId="77777777" w:rsidR="00B72F45" w:rsidRPr="00D270EE" w:rsidRDefault="00B72F45" w:rsidP="00B72F45">
      <w:pPr>
        <w:pStyle w:val="NTUnoindentNormal"/>
      </w:pPr>
      <w:r w:rsidRPr="00D270EE">
        <w:t xml:space="preserve">Safety in Design requires effective collaboration between ‘Person(s) Conducting a Business or Undertaking’, including engineers, health and safety professionals, regulators, operational and construction staff, and other decision makers. Recording and reporting of the Safety in Design process is critical to inform future design, construction, and operation teams to prepare for and manage risks. This information is also important for the future asset owners for asset and risk management. </w:t>
      </w:r>
    </w:p>
    <w:p w14:paraId="757CDD47" w14:textId="77777777" w:rsidR="00B72F45" w:rsidRPr="00D270EE" w:rsidRDefault="00B72F45" w:rsidP="00B72F45">
      <w:pPr>
        <w:pStyle w:val="NTUnoindentNormal"/>
      </w:pPr>
      <w:r>
        <w:t xml:space="preserve">Entities </w:t>
      </w:r>
      <w:r w:rsidRPr="009A25E2">
        <w:t>will</w:t>
      </w:r>
      <w:r w:rsidRPr="00D270EE">
        <w:t xml:space="preserve"> not accept assets that are considered to be unsafe to use, maintain or operate. Where infrastructure is to be vested in the Entity as part of the land development process, Safety in Design requirements should be addressed during the Pre-Application Phase (</w:t>
      </w:r>
      <w:r>
        <w:t xml:space="preserve">Section </w:t>
      </w:r>
      <w:r>
        <w:fldChar w:fldCharType="begin"/>
      </w:r>
      <w:r>
        <w:instrText xml:space="preserve"> REF _Ref141264345 \r \h </w:instrText>
      </w:r>
      <w:r>
        <w:fldChar w:fldCharType="separate"/>
      </w:r>
      <w:r>
        <w:t>1.3.4</w:t>
      </w:r>
      <w:r>
        <w:fldChar w:fldCharType="end"/>
      </w:r>
      <w:r w:rsidRPr="00D270EE">
        <w:t>) and throughout construction.</w:t>
      </w:r>
    </w:p>
    <w:p w14:paraId="5241DD09" w14:textId="77777777" w:rsidR="00B72F45" w:rsidRPr="00D270EE" w:rsidRDefault="00B72F45" w:rsidP="00B72F45">
      <w:pPr>
        <w:pStyle w:val="NTUNoNumbers-H3"/>
      </w:pPr>
      <w:bookmarkStart w:id="30" w:name="_Toc140852546"/>
      <w:bookmarkStart w:id="31" w:name="_Toc145948920"/>
      <w:r w:rsidRPr="00D270EE">
        <w:t>Technical and guideline publications</w:t>
      </w:r>
      <w:bookmarkEnd w:id="30"/>
      <w:bookmarkEnd w:id="31"/>
      <w:r w:rsidRPr="00D270EE">
        <w:t xml:space="preserve"> </w:t>
      </w:r>
    </w:p>
    <w:p w14:paraId="43C98001" w14:textId="77777777" w:rsidR="00B72F45" w:rsidRDefault="00B72F45" w:rsidP="00B72F45">
      <w:pPr>
        <w:pStyle w:val="NTUnoindentNormal"/>
        <w:rPr>
          <w:highlight w:val="yellow"/>
        </w:rPr>
      </w:pPr>
      <w:r w:rsidRPr="00D270EE">
        <w:t>Councils</w:t>
      </w:r>
      <w:r>
        <w:t>,</w:t>
      </w:r>
      <w:r w:rsidRPr="00D270EE">
        <w:t xml:space="preserve"> their CCOs and other organisations have provided numerous publications on technical requirements and guidance documents that are relevant to various aspects </w:t>
      </w:r>
      <w:r>
        <w:t xml:space="preserve">of </w:t>
      </w:r>
      <w:r w:rsidRPr="00D270EE">
        <w:t>Three Waters</w:t>
      </w:r>
      <w:r>
        <w:t xml:space="preserve"> infrastructure.</w:t>
      </w:r>
      <w:r w:rsidRPr="00D270EE">
        <w:t xml:space="preserve">  A list of th</w:t>
      </w:r>
      <w:r w:rsidRPr="009A25E2">
        <w:t xml:space="preserve">ese can be found in </w:t>
      </w:r>
      <w:r w:rsidRPr="004449BE">
        <w:t xml:space="preserve">Appendix B along with guidance to assist the sector transitioning from regional </w:t>
      </w:r>
      <w:r>
        <w:t xml:space="preserve">standard </w:t>
      </w:r>
      <w:r w:rsidRPr="004449BE">
        <w:t xml:space="preserve">to </w:t>
      </w:r>
      <w:r>
        <w:t>the</w:t>
      </w:r>
      <w:r w:rsidRPr="004449BE">
        <w:t xml:space="preserve"> </w:t>
      </w:r>
      <w:r>
        <w:t>NEDS</w:t>
      </w:r>
      <w:r w:rsidRPr="004449BE">
        <w:t>.</w:t>
      </w:r>
    </w:p>
    <w:p w14:paraId="2440891F" w14:textId="77777777" w:rsidR="00B72F45" w:rsidRPr="00D270EE" w:rsidRDefault="00B72F45" w:rsidP="00B72F45">
      <w:pPr>
        <w:pStyle w:val="NTUnoindentNormal"/>
      </w:pPr>
      <w:r w:rsidRPr="00D270EE">
        <w:t>The</w:t>
      </w:r>
      <w:r>
        <w:t>se</w:t>
      </w:r>
      <w:r w:rsidRPr="00D270EE">
        <w:t xml:space="preserve"> publications are subject to revisions to ensure that they provide up-to-date information. It is the responsibility of developers and designers to make certain that they are using a current version of all publications.</w:t>
      </w:r>
    </w:p>
    <w:p w14:paraId="5AD92D2C" w14:textId="77777777" w:rsidR="00B72F45" w:rsidRPr="00563857" w:rsidRDefault="00B72F45" w:rsidP="00B72F45">
      <w:pPr>
        <w:pStyle w:val="NTUNoNumbers-H3"/>
      </w:pPr>
      <w:bookmarkStart w:id="32" w:name="_Toc140852547"/>
      <w:bookmarkStart w:id="33" w:name="_Toc145948921"/>
      <w:r w:rsidRPr="00563857">
        <w:t>Products and Material Information and Guidance</w:t>
      </w:r>
      <w:bookmarkEnd w:id="32"/>
      <w:bookmarkEnd w:id="33"/>
    </w:p>
    <w:p w14:paraId="58A6D2B1" w14:textId="77777777" w:rsidR="00B72F45" w:rsidRPr="004449BE" w:rsidRDefault="00B72F45" w:rsidP="00B72F45">
      <w:pPr>
        <w:pStyle w:val="NTUnoindentNormal"/>
      </w:pPr>
      <w:r w:rsidRPr="004449BE">
        <w:t xml:space="preserve">Products and material registers have been lifted and shifted across to the new </w:t>
      </w:r>
      <w:r>
        <w:t>entities</w:t>
      </w:r>
      <w:r w:rsidRPr="004449BE">
        <w:t xml:space="preserve"> from </w:t>
      </w:r>
      <w:r>
        <w:t>councils</w:t>
      </w:r>
      <w:r w:rsidRPr="004449BE">
        <w:t xml:space="preserve">.  </w:t>
      </w:r>
    </w:p>
    <w:p w14:paraId="12EDA4BF" w14:textId="77777777" w:rsidR="00B72F45" w:rsidRPr="00563857" w:rsidRDefault="00B72F45" w:rsidP="00B72F45">
      <w:pPr>
        <w:pStyle w:val="NTUnoindentNormal"/>
      </w:pPr>
      <w:r w:rsidRPr="00563857">
        <w:t xml:space="preserve">No attempt has been made to cross reference those approved products and materials lists with the content of </w:t>
      </w:r>
      <w:r>
        <w:t>the NEDS</w:t>
      </w:r>
      <w:r w:rsidRPr="00563857">
        <w:t xml:space="preserve">.  It is intended that the new </w:t>
      </w:r>
      <w:r>
        <w:t>entities</w:t>
      </w:r>
      <w:r w:rsidRPr="00563857">
        <w:t xml:space="preserve"> hold, maintain, and develop their own approved lists over time to potentially rationalise or improve those lists.</w:t>
      </w:r>
    </w:p>
    <w:p w14:paraId="41D60210" w14:textId="77777777" w:rsidR="00B72F45" w:rsidRDefault="00B72F45" w:rsidP="00B72F45">
      <w:pPr>
        <w:pStyle w:val="NTUnoindentNormal"/>
      </w:pPr>
      <w:r w:rsidRPr="004449BE">
        <w:t>Entities will have their own process for adding or amending entries on these lists and new products or materials manufacturers are encouraged to contact the Entities with any new products to gain their approval for their use in the creation of any public assets.</w:t>
      </w:r>
    </w:p>
    <w:p w14:paraId="4A19EF03" w14:textId="77777777" w:rsidR="00B72F45" w:rsidRPr="00126BA8" w:rsidRDefault="00B72F45" w:rsidP="00B72F45">
      <w:pPr>
        <w:pStyle w:val="NTUnoindentNormal"/>
      </w:pPr>
      <w:r>
        <w:t>Approved Product Registers have</w:t>
      </w:r>
      <w:r w:rsidRPr="00126BA8">
        <w:t xml:space="preserve"> a number of benefits. It:</w:t>
      </w:r>
    </w:p>
    <w:p w14:paraId="5FF31FB4" w14:textId="77777777" w:rsidR="00B72F45" w:rsidRPr="00275E0B" w:rsidRDefault="00B72F45" w:rsidP="00F12615">
      <w:pPr>
        <w:pStyle w:val="NTUanumberingindent1"/>
        <w:numPr>
          <w:ilvl w:val="0"/>
          <w:numId w:val="6"/>
        </w:numPr>
        <w:ind w:left="964"/>
      </w:pPr>
      <w:r w:rsidRPr="00275E0B">
        <w:t>facilitates ready acquisition from different suppliers of assets of a recognised acceptable quality</w:t>
      </w:r>
    </w:p>
    <w:p w14:paraId="0D141F86" w14:textId="77777777" w:rsidR="00B72F45" w:rsidRPr="00275E0B" w:rsidRDefault="00B72F45" w:rsidP="00F12615">
      <w:pPr>
        <w:pStyle w:val="NTUanumberingindent1"/>
        <w:numPr>
          <w:ilvl w:val="0"/>
          <w:numId w:val="37"/>
        </w:numPr>
        <w:ind w:left="964"/>
      </w:pPr>
      <w:r w:rsidRPr="00275E0B">
        <w:t>assures assets have acceptable levels of buildability, operability, and maintainability</w:t>
      </w:r>
    </w:p>
    <w:p w14:paraId="580A1711" w14:textId="77777777" w:rsidR="00B72F45" w:rsidRPr="00275E0B" w:rsidRDefault="00B72F45" w:rsidP="00F12615">
      <w:pPr>
        <w:pStyle w:val="NTUanumberingindent1"/>
        <w:numPr>
          <w:ilvl w:val="0"/>
          <w:numId w:val="37"/>
        </w:numPr>
        <w:ind w:left="964"/>
      </w:pPr>
      <w:r w:rsidRPr="00275E0B">
        <w:lastRenderedPageBreak/>
        <w:t>takes account of whole-of-life costs and carbon emissions in production and operation</w:t>
      </w:r>
    </w:p>
    <w:p w14:paraId="1623DAA5" w14:textId="77777777" w:rsidR="00B72F45" w:rsidRPr="00275E0B" w:rsidRDefault="00B72F45" w:rsidP="00F12615">
      <w:pPr>
        <w:pStyle w:val="NTUanumberingindent1"/>
        <w:numPr>
          <w:ilvl w:val="0"/>
          <w:numId w:val="37"/>
        </w:numPr>
        <w:ind w:left="964"/>
      </w:pPr>
      <w:r w:rsidRPr="00275E0B">
        <w:t>facilitates efficient design and construction</w:t>
      </w:r>
    </w:p>
    <w:p w14:paraId="78879BE4" w14:textId="77777777" w:rsidR="00B72F45" w:rsidRPr="00275E0B" w:rsidRDefault="00B72F45" w:rsidP="00F12615">
      <w:pPr>
        <w:pStyle w:val="NTUanumberingindent1"/>
        <w:numPr>
          <w:ilvl w:val="0"/>
          <w:numId w:val="37"/>
        </w:numPr>
        <w:ind w:left="964"/>
      </w:pPr>
      <w:r w:rsidRPr="00275E0B">
        <w:t>limits risk exposure of the principal and suppliers</w:t>
      </w:r>
    </w:p>
    <w:p w14:paraId="057483A0" w14:textId="77777777" w:rsidR="00B72F45" w:rsidRPr="00275E0B" w:rsidRDefault="00B72F45" w:rsidP="00F12615">
      <w:pPr>
        <w:pStyle w:val="NTUanumberingindent1"/>
        <w:numPr>
          <w:ilvl w:val="0"/>
          <w:numId w:val="37"/>
        </w:numPr>
        <w:ind w:left="964"/>
      </w:pPr>
      <w:r w:rsidRPr="00275E0B">
        <w:t>facilitates controlled improvements to asset designs, use of products and materials and methods of construction and acceptance testing</w:t>
      </w:r>
    </w:p>
    <w:p w14:paraId="61EA4619" w14:textId="77777777" w:rsidR="00B72F45" w:rsidRPr="00275E0B" w:rsidRDefault="00B72F45" w:rsidP="00F12615">
      <w:pPr>
        <w:pStyle w:val="NTUanumberingindent1"/>
        <w:numPr>
          <w:ilvl w:val="0"/>
          <w:numId w:val="37"/>
        </w:numPr>
        <w:ind w:left="964"/>
      </w:pPr>
      <w:r w:rsidRPr="00275E0B">
        <w:t>facilitates quality assurance and inspection.</w:t>
      </w:r>
    </w:p>
    <w:p w14:paraId="73901707" w14:textId="77777777" w:rsidR="00B72F45" w:rsidRPr="004672DA" w:rsidRDefault="00B72F45" w:rsidP="00B72F45">
      <w:pPr>
        <w:pStyle w:val="NTUNoNumbers-H3"/>
      </w:pPr>
      <w:bookmarkStart w:id="34" w:name="_Toc140852548"/>
      <w:bookmarkStart w:id="35" w:name="_Toc145948922"/>
      <w:r w:rsidRPr="004672DA">
        <w:t>Approach to Innovation</w:t>
      </w:r>
      <w:bookmarkEnd w:id="34"/>
      <w:bookmarkEnd w:id="35"/>
    </w:p>
    <w:p w14:paraId="79D06199" w14:textId="77777777" w:rsidR="00B72F45" w:rsidRPr="00126BA8" w:rsidRDefault="00B72F45" w:rsidP="00B72F45">
      <w:pPr>
        <w:pStyle w:val="NTUnoindentNormal"/>
      </w:pPr>
      <w:r w:rsidRPr="00126BA8">
        <w:t>Innovation is the application of new ideas that result in increased value to a business, to their customers and to the</w:t>
      </w:r>
      <w:r>
        <w:t xml:space="preserve"> </w:t>
      </w:r>
      <w:r w:rsidRPr="00126BA8">
        <w:t>community</w:t>
      </w:r>
      <w:r>
        <w:t>.</w:t>
      </w:r>
    </w:p>
    <w:p w14:paraId="4A3D26BD" w14:textId="77777777" w:rsidR="00B72F45" w:rsidRDefault="00B72F45" w:rsidP="00B72F45">
      <w:pPr>
        <w:pStyle w:val="NTUnoindentNormal"/>
      </w:pPr>
      <w:r>
        <w:t>Standards</w:t>
      </w:r>
      <w:r w:rsidRPr="00126BA8">
        <w:t xml:space="preserve"> are an important part of the ecosystem that supports innovation</w:t>
      </w:r>
      <w:r>
        <w:t xml:space="preserve">, </w:t>
      </w:r>
      <w:r w:rsidRPr="00126BA8">
        <w:t>articulat</w:t>
      </w:r>
      <w:r>
        <w:t>ing</w:t>
      </w:r>
      <w:r w:rsidRPr="00126BA8">
        <w:t xml:space="preserve"> the minimum requirements of the water industry and enable appraisal of potential new</w:t>
      </w:r>
      <w:r>
        <w:t xml:space="preserve"> </w:t>
      </w:r>
      <w:r w:rsidRPr="00126BA8">
        <w:t>products, technologies, and processes.</w:t>
      </w:r>
    </w:p>
    <w:p w14:paraId="2703F9C0" w14:textId="77777777" w:rsidR="00B72F45" w:rsidRPr="00126BA8" w:rsidRDefault="00B72F45" w:rsidP="00B72F45">
      <w:pPr>
        <w:pStyle w:val="NTUnoindentNormal"/>
      </w:pPr>
      <w:r>
        <w:t>Content for this draft has been lifted and shifted from existing standards in use in New Zealand, the inclusion of innovation in Version 1 of the standard is limited. It is expected that the entities will work collaboratively to enable innovation in future versions of the standard.</w:t>
      </w:r>
    </w:p>
    <w:p w14:paraId="5E911377" w14:textId="77777777" w:rsidR="00B72F45" w:rsidRPr="00D270EE" w:rsidRDefault="00B72F45" w:rsidP="00B72F45">
      <w:pPr>
        <w:pStyle w:val="NTUNoNumbers-H3"/>
      </w:pPr>
      <w:bookmarkStart w:id="36" w:name="_Toc140852549"/>
      <w:bookmarkStart w:id="37" w:name="_Toc145948923"/>
      <w:r w:rsidRPr="00D270EE">
        <w:t xml:space="preserve">Natural </w:t>
      </w:r>
      <w:r>
        <w:t>H</w:t>
      </w:r>
      <w:r w:rsidRPr="00D270EE">
        <w:t>azards</w:t>
      </w:r>
      <w:bookmarkEnd w:id="36"/>
      <w:bookmarkEnd w:id="37"/>
      <w:r w:rsidRPr="00D270EE">
        <w:t xml:space="preserve"> </w:t>
      </w:r>
    </w:p>
    <w:p w14:paraId="7EA49877" w14:textId="77777777" w:rsidR="00B72F45" w:rsidRPr="00D270EE" w:rsidRDefault="00B72F45" w:rsidP="00B72F45">
      <w:pPr>
        <w:pStyle w:val="NTUnoindentNormal"/>
      </w:pPr>
      <w:r w:rsidRPr="00D270EE">
        <w:t>New Zealand is affected by a wide range of natural hazards, ranging from those that tend to recur within shorter time spans to those that occur rarely such as volcanic eruptions, tsunami, and earthquakes. To understand these hazards, Councils have adopted a risk-based approach (risk is defined as a result of the likelihood and consequences of an event occurring) and are developing strategic frameworks for building resilience to natural hazard events into our built environment and communities (Natural Hazards Risk Management Action Plan, 2017). Within this framework, the risk associated with some hazards is expected to increase as the result of climate change over time. Entities are subordinate to these plans.</w:t>
      </w:r>
    </w:p>
    <w:p w14:paraId="0B79FE13" w14:textId="77777777" w:rsidR="00B72F45" w:rsidRPr="00D270EE" w:rsidRDefault="00B72F45" w:rsidP="00B72F45">
      <w:pPr>
        <w:pStyle w:val="NTUnoindentNormal"/>
      </w:pPr>
      <w:r w:rsidRPr="00D270EE">
        <w:t>The various Regi</w:t>
      </w:r>
      <w:r>
        <w:t>o</w:t>
      </w:r>
      <w:r w:rsidRPr="00D270EE">
        <w:t>nal Plans</w:t>
      </w:r>
      <w:r>
        <w:t xml:space="preserve">, </w:t>
      </w:r>
      <w:r w:rsidRPr="00D270EE">
        <w:t xml:space="preserve">District Plans </w:t>
      </w:r>
      <w:r>
        <w:t>and Unitary Plans</w:t>
      </w:r>
      <w:r w:rsidRPr="00D270EE">
        <w:t xml:space="preserve"> provide the regulatory framework for managing natural hazards, focusing on risk management and mitigation, and specifically referring to managing land use and subdivision to avoid (where practicable), or not increase, natural hazard risk. A natural hazards risk management approach is therefore expected to be incorporated into the design and implementation of Three Waters </w:t>
      </w:r>
      <w:r>
        <w:t xml:space="preserve">reticulation </w:t>
      </w:r>
      <w:r w:rsidRPr="00D270EE">
        <w:t xml:space="preserve">infrastructure.  </w:t>
      </w:r>
    </w:p>
    <w:p w14:paraId="6214E7A8" w14:textId="77777777" w:rsidR="00B72F45" w:rsidRPr="00D270EE" w:rsidRDefault="00B72F45" w:rsidP="00B72F45">
      <w:pPr>
        <w:pStyle w:val="NTUNoNumbers-H3"/>
      </w:pPr>
      <w:bookmarkStart w:id="38" w:name="_Toc140852550"/>
      <w:bookmarkStart w:id="39" w:name="_Toc145948924"/>
      <w:r>
        <w:t>NEDS</w:t>
      </w:r>
      <w:r w:rsidRPr="00D270EE">
        <w:t xml:space="preserve"> Approach to Climate Change</w:t>
      </w:r>
      <w:bookmarkEnd w:id="38"/>
      <w:bookmarkEnd w:id="39"/>
      <w:r w:rsidRPr="00D270EE">
        <w:t xml:space="preserve"> </w:t>
      </w:r>
    </w:p>
    <w:p w14:paraId="5708002E" w14:textId="77777777" w:rsidR="00B72F45" w:rsidRPr="00347ED6" w:rsidRDefault="00B72F45" w:rsidP="00B72F45">
      <w:pPr>
        <w:pStyle w:val="NTUnoindentNormal"/>
      </w:pPr>
      <w:r>
        <w:t>New Zealand</w:t>
      </w:r>
      <w:r w:rsidRPr="00347ED6">
        <w:t xml:space="preserve">’s </w:t>
      </w:r>
      <w:r>
        <w:t xml:space="preserve">communities and the </w:t>
      </w:r>
      <w:r w:rsidRPr="00347ED6">
        <w:t>water sector has faced the full impact of climate variability and change</w:t>
      </w:r>
      <w:r>
        <w:t>,</w:t>
      </w:r>
      <w:r w:rsidRPr="00347ED6">
        <w:t xml:space="preserve"> including more variable rainfall, more heat extremes, and more frequent and intense storms. Climate change and increasing extreme weather events present challenges to </w:t>
      </w:r>
      <w:r>
        <w:t>New Zealand</w:t>
      </w:r>
      <w:r w:rsidRPr="00347ED6">
        <w:t>’s</w:t>
      </w:r>
      <w:r>
        <w:t xml:space="preserve"> entities </w:t>
      </w:r>
      <w:r w:rsidRPr="00347ED6">
        <w:t>including affecting the condition</w:t>
      </w:r>
      <w:r>
        <w:t xml:space="preserve"> of water infrastructure</w:t>
      </w:r>
      <w:r w:rsidRPr="00347ED6">
        <w:t xml:space="preserve"> and reducing </w:t>
      </w:r>
      <w:r>
        <w:t>its</w:t>
      </w:r>
      <w:r w:rsidRPr="00347ED6">
        <w:t xml:space="preserve"> performance.</w:t>
      </w:r>
    </w:p>
    <w:p w14:paraId="68FBD0FB" w14:textId="77777777" w:rsidR="00B72F45" w:rsidRPr="00347ED6" w:rsidRDefault="00B72F45" w:rsidP="00B72F45">
      <w:pPr>
        <w:pStyle w:val="NTUnoindentNormal"/>
      </w:pPr>
      <w:r w:rsidRPr="00347ED6">
        <w:t xml:space="preserve">The water industry is uniquely positioned to mitigate </w:t>
      </w:r>
      <w:r>
        <w:t>its</w:t>
      </w:r>
      <w:r w:rsidRPr="00347ED6">
        <w:t xml:space="preserve"> impact on our climate, respond and adapt to the impacts of a changing climate on the delivery of </w:t>
      </w:r>
      <w:r>
        <w:t>its</w:t>
      </w:r>
      <w:r w:rsidRPr="00347ED6">
        <w:t xml:space="preserve"> services, and improve the resilience of our communities and the environment in adapting to a changing climate.</w:t>
      </w:r>
    </w:p>
    <w:p w14:paraId="1F8D1915" w14:textId="77777777" w:rsidR="00B72F45" w:rsidRPr="00D270EE" w:rsidRDefault="00B72F45" w:rsidP="00B72F45">
      <w:pPr>
        <w:pStyle w:val="NTUnoindentNormal"/>
      </w:pPr>
      <w:r>
        <w:t>NEDS</w:t>
      </w:r>
      <w:r w:rsidRPr="00347ED6">
        <w:t xml:space="preserve"> can contribute to responding to these challenges by adapting technical requirements for planning, design and construction of </w:t>
      </w:r>
      <w:r>
        <w:t xml:space="preserve">stormwater, </w:t>
      </w:r>
      <w:r w:rsidRPr="00347ED6">
        <w:t xml:space="preserve">water supply and sewerage </w:t>
      </w:r>
      <w:r>
        <w:t>reticulation</w:t>
      </w:r>
      <w:r w:rsidRPr="00347ED6">
        <w:t xml:space="preserve"> infrastructure, which can have a profound impact on our </w:t>
      </w:r>
      <w:r w:rsidRPr="00D270EE">
        <w:t xml:space="preserve">performance.  However, </w:t>
      </w:r>
      <w:r>
        <w:t>NEDS</w:t>
      </w:r>
      <w:r w:rsidRPr="00D270EE">
        <w:t xml:space="preserve"> is transitional in nature and transformative change is only possible in future revisions.</w:t>
      </w:r>
    </w:p>
    <w:p w14:paraId="030803B0" w14:textId="77777777" w:rsidR="00B72F45" w:rsidRPr="00D270EE" w:rsidRDefault="00B72F45" w:rsidP="00B72F45">
      <w:pPr>
        <w:pStyle w:val="NTUnoindentNormal"/>
      </w:pPr>
      <w:r w:rsidRPr="00D270EE">
        <w:lastRenderedPageBreak/>
        <w:t xml:space="preserve">Hand in hand with technical </w:t>
      </w:r>
      <w:r>
        <w:t>NEDS</w:t>
      </w:r>
      <w:r w:rsidRPr="00D270EE">
        <w:t xml:space="preserve"> requirements are approved products and materials registers.  The </w:t>
      </w:r>
      <w:r>
        <w:t>entities</w:t>
      </w:r>
      <w:r w:rsidRPr="00D270EE">
        <w:t xml:space="preserve"> will look closely at reducing to zero emissions</w:t>
      </w:r>
      <w:r>
        <w:t xml:space="preserve"> via</w:t>
      </w:r>
      <w:r w:rsidRPr="00D270EE">
        <w:t xml:space="preserve"> its suppliers and their supply chain</w:t>
      </w:r>
      <w:r>
        <w:t>s</w:t>
      </w:r>
      <w:r w:rsidRPr="00D270EE">
        <w:t xml:space="preserve"> in line with the </w:t>
      </w:r>
      <w:r>
        <w:t>G</w:t>
      </w:r>
      <w:r w:rsidRPr="00D270EE">
        <w:t>overnment</w:t>
      </w:r>
      <w:r>
        <w:t>’</w:t>
      </w:r>
      <w:r w:rsidRPr="00D270EE">
        <w:t>s stated goal of</w:t>
      </w:r>
      <w:r>
        <w:t xml:space="preserve"> achieving</w:t>
      </w:r>
      <w:r w:rsidRPr="00D270EE">
        <w:t xml:space="preserve"> net zero by 2050.</w:t>
      </w:r>
    </w:p>
    <w:p w14:paraId="65822E3C" w14:textId="77777777" w:rsidR="00B72F45" w:rsidRPr="00D270EE" w:rsidRDefault="00B72F45" w:rsidP="00B72F45">
      <w:pPr>
        <w:pStyle w:val="NTUnoindentNormal"/>
      </w:pPr>
      <w:r w:rsidRPr="00D270EE">
        <w:t xml:space="preserve">The Government is reviewing the updated assessment of the science of climate change in the Intergovernmental Panel on Climate Change Working Group Report and will then determine whether a National Environmental Standard on future sea-level rise is required. </w:t>
      </w:r>
    </w:p>
    <w:p w14:paraId="4E348F96" w14:textId="77777777" w:rsidR="00B72F45" w:rsidRPr="00D270EE" w:rsidRDefault="00B72F45" w:rsidP="00B72F45">
      <w:pPr>
        <w:pStyle w:val="NTUnoindentNormal"/>
      </w:pPr>
      <w:r w:rsidRPr="00D270EE">
        <w:t>To ensure that</w:t>
      </w:r>
      <w:r>
        <w:t xml:space="preserve"> </w:t>
      </w:r>
      <w:r w:rsidRPr="00D270EE">
        <w:t xml:space="preserve">Three Waters infrastructure servicing land development and subdivision is capable of providing for the impact of sea level rise, the increased frequency of extreme weather events and other natural hazard events exacerbated by climate change, </w:t>
      </w:r>
      <w:r>
        <w:t>entities will</w:t>
      </w:r>
      <w:r w:rsidRPr="00D270EE">
        <w:t xml:space="preserve"> expect that climate change-focused risk management processes are incorporated into the design of infrastructure and hazard risk management for new developments. </w:t>
      </w:r>
    </w:p>
    <w:p w14:paraId="51754B87" w14:textId="77777777" w:rsidR="00B72F45" w:rsidRPr="00D270EE" w:rsidRDefault="00B72F45" w:rsidP="00B72F45">
      <w:pPr>
        <w:pStyle w:val="NTUnoindentNormal"/>
      </w:pPr>
      <w:r w:rsidRPr="00D270EE">
        <w:t xml:space="preserve">Specific information on this aspect is provided in the relevant chapters of </w:t>
      </w:r>
      <w:r>
        <w:t>NEDS</w:t>
      </w:r>
      <w:r w:rsidRPr="00D270EE">
        <w:t xml:space="preserve"> and in particular the Stormwater </w:t>
      </w:r>
      <w:r>
        <w:t>NEDS</w:t>
      </w:r>
      <w:r w:rsidRPr="00D270EE">
        <w:t>.</w:t>
      </w:r>
    </w:p>
    <w:p w14:paraId="1BDF5250" w14:textId="77777777" w:rsidR="00B72F45" w:rsidRPr="00D270EE" w:rsidRDefault="00B72F45" w:rsidP="00B72F45">
      <w:pPr>
        <w:pStyle w:val="NTUNoNumbers-H3"/>
      </w:pPr>
      <w:bookmarkStart w:id="40" w:name="_Toc140852551"/>
      <w:bookmarkStart w:id="41" w:name="_Toc145948925"/>
      <w:r>
        <w:t>NEDS</w:t>
      </w:r>
      <w:r w:rsidRPr="00D270EE">
        <w:t xml:space="preserve"> Approach to Sustainability</w:t>
      </w:r>
      <w:bookmarkEnd w:id="40"/>
      <w:bookmarkEnd w:id="41"/>
      <w:r w:rsidRPr="00D270EE">
        <w:t xml:space="preserve"> </w:t>
      </w:r>
    </w:p>
    <w:p w14:paraId="6165797D" w14:textId="77777777" w:rsidR="00B72F45" w:rsidRPr="00402D2E" w:rsidRDefault="00B72F45" w:rsidP="00B72F45">
      <w:pPr>
        <w:pStyle w:val="NTUnoindentNormal"/>
      </w:pPr>
      <w:r>
        <w:t>NEDS</w:t>
      </w:r>
      <w:r w:rsidRPr="00402D2E">
        <w:t xml:space="preserve"> provides engineering practitioners with a standard for design and construction of local network systems that is consistent across New Zealand and encourages innovation.</w:t>
      </w:r>
    </w:p>
    <w:p w14:paraId="0CF2939E" w14:textId="77777777" w:rsidR="00B72F45" w:rsidRPr="00402D2E" w:rsidRDefault="00B72F45" w:rsidP="00B72F45">
      <w:pPr>
        <w:pStyle w:val="NTUnoindentNormal"/>
      </w:pPr>
      <w:r w:rsidRPr="00402D2E">
        <w:t>New Zealand’s overarching commitment to reduce emissions to net zero by 2050 relies heavily on the infrastructure sector embracing practices that demonstrate whole of life value to construct resilient assets in a sustainable manner.</w:t>
      </w:r>
    </w:p>
    <w:p w14:paraId="5115DAC1" w14:textId="77777777" w:rsidR="00B72F45" w:rsidRPr="00402D2E" w:rsidRDefault="00B72F45" w:rsidP="00B72F45">
      <w:pPr>
        <w:pStyle w:val="NTUnoindentNormal"/>
      </w:pPr>
      <w:r w:rsidRPr="00402D2E">
        <w:t>The planning and design stages provide opportunities to influence long-term environmental, cultural, social, and economic impacts assets will have over their operational life. It</w:t>
      </w:r>
      <w:r>
        <w:t xml:space="preserve"> i</w:t>
      </w:r>
      <w:r w:rsidRPr="00402D2E">
        <w:t>s therefore important that assets are strategically planned, designed, and constructed to operate efficiently</w:t>
      </w:r>
      <w:r>
        <w:t>,</w:t>
      </w:r>
      <w:r w:rsidRPr="00402D2E">
        <w:t xml:space="preserve"> as the ‘</w:t>
      </w:r>
      <w:r w:rsidRPr="00402D2E">
        <w:rPr>
          <w:i/>
          <w:iCs/>
        </w:rPr>
        <w:t>ability to influence</w:t>
      </w:r>
      <w:r w:rsidRPr="00402D2E">
        <w:t>’ diminishes significantly after the design stage.</w:t>
      </w:r>
    </w:p>
    <w:p w14:paraId="4E760D75" w14:textId="77777777" w:rsidR="00B72F45" w:rsidRDefault="00B72F45" w:rsidP="00B72F45">
      <w:pPr>
        <w:pStyle w:val="NTUnoindentNormal"/>
      </w:pPr>
      <w:r w:rsidRPr="00402D2E">
        <w:t>Careful consideration should be given to the 5 key stages of assets’ lifecycle</w:t>
      </w:r>
      <w:r>
        <w:t>s</w:t>
      </w:r>
      <w:r w:rsidRPr="00402D2E">
        <w:t xml:space="preserve"> to determine the most suitable whole of life solution</w:t>
      </w:r>
      <w:r>
        <w:t xml:space="preserve"> as per Figure 0-1.</w:t>
      </w:r>
      <w:r w:rsidRPr="00402D2E">
        <w:t xml:space="preserve"> </w:t>
      </w:r>
    </w:p>
    <w:p w14:paraId="21EF1833" w14:textId="77777777" w:rsidR="00B72F45" w:rsidRDefault="00B72F45" w:rsidP="00B72F45">
      <w:pPr>
        <w:pStyle w:val="NTUnoindentNormal"/>
      </w:pPr>
    </w:p>
    <w:p w14:paraId="6C801612" w14:textId="77777777" w:rsidR="00B72F45" w:rsidRDefault="00B72F45" w:rsidP="00B72F45">
      <w:pPr>
        <w:pStyle w:val="NTUnoindentNormal"/>
      </w:pPr>
      <w:r w:rsidRPr="00402D2E">
        <w:rPr>
          <w:noProof/>
        </w:rPr>
        <w:drawing>
          <wp:inline distT="0" distB="0" distL="0" distR="0" wp14:anchorId="3E74CB29" wp14:editId="69A1EB71">
            <wp:extent cx="5295331" cy="2890766"/>
            <wp:effectExtent l="0" t="114300" r="0" b="176530"/>
            <wp:docPr id="806582447" name="Diagram 8065824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8DB9D90" w14:textId="77777777" w:rsidR="00B72F45" w:rsidRPr="00AE2B99" w:rsidRDefault="00B72F45" w:rsidP="00B72F45">
      <w:pPr>
        <w:pStyle w:val="NTUFigure"/>
      </w:pPr>
      <w:r w:rsidRPr="00AE2B99">
        <w:lastRenderedPageBreak/>
        <w:t>Figure 0-1: Schematic life cycle of infrastructure projects</w:t>
      </w:r>
    </w:p>
    <w:p w14:paraId="6C385BE0" w14:textId="77777777" w:rsidR="00B72F45" w:rsidRDefault="00B72F45" w:rsidP="00B72F45">
      <w:pPr>
        <w:pStyle w:val="NTUnoindentNormal"/>
      </w:pPr>
    </w:p>
    <w:p w14:paraId="492993EA" w14:textId="77777777" w:rsidR="00B72F45" w:rsidRPr="009A7D64" w:rsidRDefault="00B72F45" w:rsidP="00B72F45">
      <w:pPr>
        <w:pStyle w:val="NTU1Numbers"/>
        <w:tabs>
          <w:tab w:val="clear" w:pos="360"/>
        </w:tabs>
        <w:ind w:hanging="360"/>
      </w:pPr>
      <w:r w:rsidRPr="00A26A06">
        <w:t>Planning</w:t>
      </w:r>
      <w:r w:rsidRPr="009A7D64">
        <w:t xml:space="preserve"> (greatest ability to influence)</w:t>
      </w:r>
    </w:p>
    <w:p w14:paraId="5B1C5571" w14:textId="77777777" w:rsidR="00B72F45" w:rsidRDefault="00B72F45" w:rsidP="00B72F45">
      <w:pPr>
        <w:pStyle w:val="NTUanumbering"/>
        <w:numPr>
          <w:ilvl w:val="0"/>
          <w:numId w:val="10"/>
        </w:numPr>
      </w:pPr>
      <w:r w:rsidRPr="00402D2E">
        <w:t>Planning is critical in minimising conflicts between infrastructure and land development to sustain water quality and quantity for future generations. It also assists with the efficient and effective removal of waste and stormwater, while protecting and enhancing the natural environment.</w:t>
      </w:r>
    </w:p>
    <w:p w14:paraId="6906BD4B" w14:textId="77777777" w:rsidR="00B72F45" w:rsidRDefault="00B72F45" w:rsidP="00B72F45">
      <w:pPr>
        <w:pStyle w:val="NTUanumbering"/>
        <w:numPr>
          <w:ilvl w:val="0"/>
          <w:numId w:val="10"/>
        </w:numPr>
      </w:pPr>
      <w:r w:rsidRPr="00402D2E">
        <w:t>The planning stage should assess the need for works and identify the preferred option (e.g., alignment of pipeline or location / layout of pump station) to meet the intended level of service. This generally involves a high-level comparative evaluation of options, demonstrating the whole of life benefits including total embodied carbon, cost, and effects on the environment. In some cases, this may also reconfirm the need for works, by assessing whether new infrastructure is required to service the community.</w:t>
      </w:r>
    </w:p>
    <w:p w14:paraId="4298E001" w14:textId="77777777" w:rsidR="00B72F45" w:rsidRPr="00C66D89" w:rsidRDefault="00B72F45" w:rsidP="00B72F45">
      <w:pPr>
        <w:pStyle w:val="NTU1Numbers"/>
        <w:tabs>
          <w:tab w:val="clear" w:pos="360"/>
        </w:tabs>
        <w:ind w:hanging="360"/>
      </w:pPr>
      <w:r w:rsidRPr="00C66D89">
        <w:t xml:space="preserve">Design </w:t>
      </w:r>
    </w:p>
    <w:p w14:paraId="7DD66691" w14:textId="77777777" w:rsidR="00B72F45" w:rsidRDefault="00B72F45" w:rsidP="00B72F45">
      <w:pPr>
        <w:pStyle w:val="NTUanumbering"/>
        <w:numPr>
          <w:ilvl w:val="0"/>
          <w:numId w:val="3"/>
        </w:numPr>
      </w:pPr>
      <w:r w:rsidRPr="00C66D89">
        <w:t>The design stage should aim to refine the preferred option, considering the whole of life cost of the infrastructure as follows in 3, 4 and 5 below:</w:t>
      </w:r>
    </w:p>
    <w:p w14:paraId="2529D192" w14:textId="77777777" w:rsidR="00B72F45" w:rsidRPr="009A7D64" w:rsidRDefault="00B72F45" w:rsidP="00B72F45">
      <w:pPr>
        <w:pStyle w:val="NTU1Numbers"/>
        <w:tabs>
          <w:tab w:val="clear" w:pos="360"/>
        </w:tabs>
        <w:ind w:hanging="360"/>
      </w:pPr>
      <w:r>
        <w:t>Construction</w:t>
      </w:r>
    </w:p>
    <w:p w14:paraId="5059A27C" w14:textId="77777777" w:rsidR="00B72F45" w:rsidRDefault="00B72F45" w:rsidP="00B72F45">
      <w:pPr>
        <w:pStyle w:val="NTUanumbering"/>
        <w:numPr>
          <w:ilvl w:val="0"/>
          <w:numId w:val="8"/>
        </w:numPr>
      </w:pPr>
      <w:r w:rsidRPr="00402D2E">
        <w:t>Building smarter and assessing the impact of the construction methodology, and programme of works</w:t>
      </w:r>
    </w:p>
    <w:p w14:paraId="19BB3DB9" w14:textId="77777777" w:rsidR="00B72F45" w:rsidRDefault="00B72F45" w:rsidP="00B72F45">
      <w:pPr>
        <w:pStyle w:val="NTUanumbering"/>
        <w:numPr>
          <w:ilvl w:val="0"/>
          <w:numId w:val="10"/>
        </w:numPr>
      </w:pPr>
      <w:r w:rsidRPr="00402D2E">
        <w:t>Specifying appropriate products and materials meeting the performance requirements</w:t>
      </w:r>
    </w:p>
    <w:p w14:paraId="3F3BB168" w14:textId="77777777" w:rsidR="00B72F45" w:rsidRDefault="00B72F45" w:rsidP="00B72F45">
      <w:pPr>
        <w:pStyle w:val="NTUanumbering"/>
        <w:numPr>
          <w:ilvl w:val="0"/>
          <w:numId w:val="10"/>
        </w:numPr>
      </w:pPr>
      <w:r w:rsidRPr="00402D2E">
        <w:t>Quality assurance during construction is critical to ensure that systems operate for the duration of the intended design life, as defective infrastructure may not only operate inefficiently, but can also result in offset implications elsewhere which have consequential cost (e.g., non-revenue water, increased treatment volumes resulting from ingress, residual contamination in stormwater).</w:t>
      </w:r>
    </w:p>
    <w:p w14:paraId="7011BC65" w14:textId="77777777" w:rsidR="00B72F45" w:rsidRPr="009A7D64" w:rsidRDefault="00B72F45" w:rsidP="00B72F45">
      <w:pPr>
        <w:pStyle w:val="NTU1Numbers"/>
        <w:tabs>
          <w:tab w:val="clear" w:pos="360"/>
        </w:tabs>
        <w:ind w:hanging="360"/>
      </w:pPr>
      <w:r>
        <w:t>In-Service Operation</w:t>
      </w:r>
    </w:p>
    <w:p w14:paraId="737551D2" w14:textId="77777777" w:rsidR="00B72F45" w:rsidRPr="00402D2E" w:rsidRDefault="00B72F45" w:rsidP="00B72F45">
      <w:pPr>
        <w:pStyle w:val="NTUanumbering"/>
        <w:tabs>
          <w:tab w:val="clear" w:pos="360"/>
        </w:tabs>
        <w:ind w:left="1353" w:hanging="360"/>
      </w:pPr>
      <w:r w:rsidRPr="00402D2E">
        <w:t>Designing for network resilience to ensure</w:t>
      </w:r>
      <w:r w:rsidRPr="00BF61C5">
        <w:t xml:space="preserve"> functioning assets after events such as earthquakes or landslides</w:t>
      </w:r>
      <w:r w:rsidRPr="00402D2E">
        <w:t>.</w:t>
      </w:r>
    </w:p>
    <w:p w14:paraId="76D0CB1D" w14:textId="77777777" w:rsidR="00B72F45" w:rsidRPr="00402D2E" w:rsidRDefault="00B72F45" w:rsidP="00B72F45">
      <w:pPr>
        <w:pStyle w:val="NTUanumbering"/>
        <w:numPr>
          <w:ilvl w:val="0"/>
          <w:numId w:val="10"/>
        </w:numPr>
      </w:pPr>
      <w:r w:rsidRPr="00402D2E">
        <w:t xml:space="preserve">Operational efficiency of materials selected (e.g., pipeline hydraulics, pump selection), </w:t>
      </w:r>
    </w:p>
    <w:p w14:paraId="430D120B" w14:textId="77777777" w:rsidR="00B72F45" w:rsidRPr="00402D2E" w:rsidRDefault="00B72F45" w:rsidP="00B72F45">
      <w:pPr>
        <w:pStyle w:val="NTUanumbering"/>
        <w:numPr>
          <w:ilvl w:val="0"/>
          <w:numId w:val="10"/>
        </w:numPr>
      </w:pPr>
      <w:r w:rsidRPr="00402D2E">
        <w:t>Energy efficiency of equipment selected (e.g., pumps)</w:t>
      </w:r>
    </w:p>
    <w:p w14:paraId="677A093C" w14:textId="77777777" w:rsidR="00B72F45" w:rsidRDefault="00B72F45" w:rsidP="00B72F45">
      <w:pPr>
        <w:pStyle w:val="NTUanumbering"/>
        <w:numPr>
          <w:ilvl w:val="0"/>
          <w:numId w:val="10"/>
        </w:numPr>
      </w:pPr>
      <w:r w:rsidRPr="00BF61C5">
        <w:t>Anticipate future requirements such as maintenance, repair methodologies, critical spares, and shutdowns.</w:t>
      </w:r>
    </w:p>
    <w:p w14:paraId="4FC12973" w14:textId="77777777" w:rsidR="00B72F45" w:rsidRPr="009A7D64" w:rsidRDefault="00B72F45" w:rsidP="00B72F45">
      <w:pPr>
        <w:pStyle w:val="NTU1Numbers"/>
        <w:tabs>
          <w:tab w:val="clear" w:pos="360"/>
        </w:tabs>
        <w:ind w:hanging="360"/>
      </w:pPr>
      <w:r>
        <w:t>Decommissioning</w:t>
      </w:r>
    </w:p>
    <w:p w14:paraId="405FF4C6" w14:textId="77777777" w:rsidR="00B72F45" w:rsidRPr="00BF61C5" w:rsidRDefault="00B72F45" w:rsidP="00B72F45">
      <w:pPr>
        <w:pStyle w:val="NTUanumbering"/>
        <w:numPr>
          <w:ilvl w:val="0"/>
          <w:numId w:val="9"/>
        </w:numPr>
      </w:pPr>
      <w:r w:rsidRPr="00BF61C5">
        <w:t>What this would physically involve and potential recycling or abandonment of materials at the end of its service life.</w:t>
      </w:r>
    </w:p>
    <w:p w14:paraId="3C3E1B29" w14:textId="77777777" w:rsidR="00B72F45" w:rsidRPr="00402D2E" w:rsidRDefault="00B72F45" w:rsidP="00B72F45">
      <w:pPr>
        <w:pStyle w:val="NTUanumbering"/>
        <w:numPr>
          <w:ilvl w:val="0"/>
          <w:numId w:val="10"/>
        </w:numPr>
      </w:pPr>
      <w:r w:rsidRPr="00402D2E">
        <w:t xml:space="preserve">Depending on the complexity of the works, this may warrant a comprehensive assessment (new large-scale development) or simple material evaluation suitable for the intended purpose and operational life of the asset. </w:t>
      </w:r>
    </w:p>
    <w:p w14:paraId="57298ED6" w14:textId="29476472" w:rsidR="00F12615" w:rsidRDefault="00F12615">
      <w:pPr>
        <w:rPr>
          <w:rFonts w:ascii="Calibri" w:eastAsia="Calibri" w:hAnsi="Calibri" w:cs="Calibri"/>
          <w:b/>
          <w:color w:val="000000" w:themeColor="text1"/>
          <w:kern w:val="0"/>
          <w:sz w:val="20"/>
          <w:szCs w:val="20"/>
          <w:lang w:eastAsia="en-GB"/>
          <w14:ligatures w14:val="none"/>
        </w:rPr>
      </w:pPr>
      <w:bookmarkStart w:id="42" w:name="_Toc140852557"/>
      <w:bookmarkStart w:id="43" w:name="_Toc145948926"/>
    </w:p>
    <w:p w14:paraId="35A4B575" w14:textId="448C5870" w:rsidR="00B72F45" w:rsidRPr="0004785A" w:rsidRDefault="00B72F45" w:rsidP="00B72F45">
      <w:pPr>
        <w:pStyle w:val="NTUNoNumbers-H3"/>
      </w:pPr>
      <w:r w:rsidRPr="00BF61C5">
        <w:t xml:space="preserve">Proposed Amendments to the </w:t>
      </w:r>
      <w:bookmarkEnd w:id="42"/>
      <w:r w:rsidRPr="00BF61C5">
        <w:t>NEDS</w:t>
      </w:r>
      <w:bookmarkEnd w:id="43"/>
    </w:p>
    <w:p w14:paraId="0AD220E0" w14:textId="77777777" w:rsidR="00B72F45" w:rsidRDefault="00B72F45" w:rsidP="00B72F45">
      <w:pPr>
        <w:pStyle w:val="NTUnoindentNormal"/>
      </w:pPr>
      <w:r>
        <w:t>Once finalised this draft will become Version 1 of the NEDS. It is expected that the Entities will work collaboratively to ensure that the national standards remain national.</w:t>
      </w:r>
    </w:p>
    <w:p w14:paraId="3A43DCE9" w14:textId="77777777" w:rsidR="00B72F45" w:rsidRDefault="00B72F45" w:rsidP="00B72F45">
      <w:pPr>
        <w:pStyle w:val="NTUnoindentNormal"/>
      </w:pPr>
      <w:r>
        <w:t>The process in which the NEDS will be periodically updated is still a work in progress.</w:t>
      </w:r>
    </w:p>
    <w:p w14:paraId="587E9E93" w14:textId="77777777" w:rsidR="00B72F45" w:rsidRDefault="00B72F45" w:rsidP="00B72F45">
      <w:pPr>
        <w:pStyle w:val="NTUNoNumbers-H2"/>
      </w:pPr>
      <w:bookmarkStart w:id="44" w:name="_Toc145948927"/>
      <w:r>
        <w:lastRenderedPageBreak/>
        <w:t>APPENDICES</w:t>
      </w:r>
      <w:bookmarkEnd w:id="44"/>
    </w:p>
    <w:p w14:paraId="0C9655A2" w14:textId="4221ECDE" w:rsidR="00B72F45" w:rsidRPr="009A2B60" w:rsidRDefault="00B72F45" w:rsidP="00B72F45">
      <w:pPr>
        <w:pStyle w:val="NTUnoindentNormal"/>
      </w:pPr>
      <w:r w:rsidRPr="009A2B60">
        <w:t xml:space="preserve">Appendices are a mixture of mandatory and informative requirements and follow the same style protocols as the </w:t>
      </w:r>
      <w:r w:rsidR="00545400">
        <w:t>NEDS</w:t>
      </w:r>
      <w:r w:rsidRPr="009A2B60">
        <w:t>.</w:t>
      </w:r>
    </w:p>
    <w:p w14:paraId="7E5FCE5C" w14:textId="4ADB9A15" w:rsidR="00B72F45" w:rsidRPr="009A2B60" w:rsidRDefault="00B72F45" w:rsidP="00B72F45">
      <w:pPr>
        <w:pStyle w:val="NTUnoindentNormal"/>
      </w:pPr>
      <w:r w:rsidRPr="009A2B60">
        <w:t>As necessary, documents referenced, and abbreviations used</w:t>
      </w:r>
      <w:r w:rsidR="00545400">
        <w:t>,</w:t>
      </w:r>
      <w:r w:rsidRPr="009A2B60">
        <w:t xml:space="preserve"> are listed in each </w:t>
      </w:r>
      <w:r>
        <w:t>a</w:t>
      </w:r>
      <w:r w:rsidRPr="009A2B60">
        <w:t>ppendix.</w:t>
      </w:r>
    </w:p>
    <w:p w14:paraId="3C7CAD90" w14:textId="742CBDA4" w:rsidR="00B72F45" w:rsidRDefault="00B72F45" w:rsidP="00B72F45">
      <w:pPr>
        <w:pStyle w:val="NTUnoindentNormal"/>
      </w:pPr>
      <w:r w:rsidRPr="009A2B60">
        <w:t>Unless otherwise stated, all clause and table references refer to th</w:t>
      </w:r>
      <w:r w:rsidR="00545400">
        <w:t>e NEDS</w:t>
      </w:r>
      <w:r w:rsidRPr="009A2B60">
        <w:t>.</w:t>
      </w:r>
    </w:p>
    <w:p w14:paraId="161B36D2" w14:textId="77777777" w:rsidR="00B72F45" w:rsidRDefault="00B72F45" w:rsidP="00B72F45">
      <w:pPr>
        <w:pStyle w:val="NTUnoindentNormal"/>
      </w:pPr>
    </w:p>
    <w:p w14:paraId="2CAB2338" w14:textId="2A080CFC" w:rsidR="00B72F45" w:rsidRDefault="00B72F45">
      <w:pPr>
        <w:rPr>
          <w:rFonts w:ascii="Calibri" w:eastAsia="Calibri" w:hAnsi="Calibri" w:cs="Calibri"/>
          <w:b/>
          <w:color w:val="000000" w:themeColor="text1"/>
          <w:kern w:val="0"/>
          <w:sz w:val="36"/>
          <w:szCs w:val="36"/>
          <w:lang w:eastAsia="en-GB"/>
          <w14:ligatures w14:val="none"/>
        </w:rPr>
      </w:pPr>
      <w:bookmarkStart w:id="45" w:name="_Toc145948928"/>
    </w:p>
    <w:p w14:paraId="5793220E" w14:textId="63CF8EEE" w:rsidR="00B72F45" w:rsidRDefault="00B72F45" w:rsidP="00B72F45">
      <w:pPr>
        <w:pStyle w:val="NTUNonumbers-H1"/>
      </w:pPr>
      <w:r>
        <w:t>GLOSSARY, ABBREVIATIONS AND REFERENCES</w:t>
      </w:r>
      <w:bookmarkEnd w:id="45"/>
    </w:p>
    <w:p w14:paraId="428E5BE9" w14:textId="77777777" w:rsidR="00B72F45" w:rsidRDefault="00B72F45" w:rsidP="00B72F45">
      <w:pPr>
        <w:pStyle w:val="NTUNoNumbers-H2"/>
      </w:pPr>
      <w:bookmarkStart w:id="46" w:name="_Toc138851402"/>
      <w:bookmarkStart w:id="47" w:name="_Toc145948929"/>
      <w:r>
        <w:t>GLOSSARY OF TERMS</w:t>
      </w:r>
      <w:bookmarkEnd w:id="46"/>
      <w:bookmarkEnd w:id="47"/>
    </w:p>
    <w:tbl>
      <w:tblPr>
        <w:tblW w:w="5000" w:type="pct"/>
        <w:tblBorders>
          <w:top w:val="single" w:sz="4" w:space="0" w:color="293171"/>
          <w:left w:val="single" w:sz="4" w:space="0" w:color="293171"/>
          <w:bottom w:val="single" w:sz="4" w:space="0" w:color="293171"/>
          <w:right w:val="single" w:sz="4" w:space="0" w:color="293171"/>
          <w:insideH w:val="single" w:sz="4" w:space="0" w:color="293171"/>
          <w:insideV w:val="single" w:sz="4" w:space="0" w:color="293171"/>
        </w:tblBorders>
        <w:tblLook w:val="0400" w:firstRow="0" w:lastRow="0" w:firstColumn="0" w:lastColumn="0" w:noHBand="0" w:noVBand="1"/>
      </w:tblPr>
      <w:tblGrid>
        <w:gridCol w:w="2077"/>
        <w:gridCol w:w="6927"/>
        <w:gridCol w:w="22"/>
      </w:tblGrid>
      <w:tr w:rsidR="00B72F45" w:rsidRPr="006627F4" w14:paraId="532FA616" w14:textId="77777777" w:rsidTr="00114B22">
        <w:trPr>
          <w:gridAfter w:val="1"/>
          <w:wAfter w:w="12" w:type="pct"/>
          <w:cantSplit/>
          <w:trHeight w:val="119"/>
          <w:tblHeader/>
        </w:trPr>
        <w:tc>
          <w:tcPr>
            <w:tcW w:w="4988" w:type="pct"/>
            <w:gridSpan w:val="2"/>
            <w:tcBorders>
              <w:top w:val="nil"/>
              <w:left w:val="nil"/>
              <w:right w:val="nil"/>
            </w:tcBorders>
          </w:tcPr>
          <w:p w14:paraId="6A68D7E7" w14:textId="062742CD" w:rsidR="00B72F45" w:rsidRPr="00673B42" w:rsidRDefault="00B72F45" w:rsidP="00114B22">
            <w:pPr>
              <w:pStyle w:val="NTUtabletextBold"/>
              <w:rPr>
                <w:lang w:eastAsia="en-NZ" w:bidi="en-NZ"/>
              </w:rPr>
            </w:pPr>
            <w:r w:rsidRPr="006627F4">
              <w:rPr>
                <w:lang w:eastAsia="en-NZ" w:bidi="en-NZ"/>
              </w:rPr>
              <w:t xml:space="preserve">Table </w:t>
            </w:r>
            <w:r w:rsidR="004619ED" w:rsidRPr="004619ED">
              <w:rPr>
                <w:highlight w:val="yellow"/>
                <w:lang w:eastAsia="en-NZ" w:bidi="en-NZ"/>
              </w:rPr>
              <w:t>X</w:t>
            </w:r>
            <w:r w:rsidRPr="004619ED">
              <w:rPr>
                <w:highlight w:val="yellow"/>
                <w:lang w:eastAsia="en-NZ" w:bidi="en-NZ"/>
              </w:rPr>
              <w:noBreakHyphen/>
            </w:r>
            <w:r w:rsidR="004619ED" w:rsidRPr="004619ED">
              <w:rPr>
                <w:highlight w:val="yellow"/>
                <w:lang w:eastAsia="en-NZ" w:bidi="en-NZ"/>
              </w:rPr>
              <w:t>X</w:t>
            </w:r>
            <w:r w:rsidRPr="006627F4">
              <w:rPr>
                <w:lang w:eastAsia="en-NZ" w:bidi="en-NZ"/>
              </w:rPr>
              <w:t xml:space="preserve"> </w:t>
            </w:r>
            <w:r>
              <w:rPr>
                <w:lang w:eastAsia="en-NZ" w:bidi="en-NZ"/>
              </w:rPr>
              <w:t>–</w:t>
            </w:r>
            <w:r w:rsidRPr="006627F4">
              <w:rPr>
                <w:lang w:eastAsia="en-NZ" w:bidi="en-NZ"/>
              </w:rPr>
              <w:t xml:space="preserve"> Glossary</w:t>
            </w:r>
          </w:p>
        </w:tc>
      </w:tr>
      <w:tr w:rsidR="00B72F45" w:rsidRPr="006627F4" w14:paraId="313CB8FD" w14:textId="77777777" w:rsidTr="00114B22">
        <w:trPr>
          <w:cantSplit/>
          <w:trHeight w:val="65"/>
        </w:trPr>
        <w:tc>
          <w:tcPr>
            <w:tcW w:w="5000" w:type="pct"/>
            <w:gridSpan w:val="3"/>
            <w:shd w:val="clear" w:color="auto" w:fill="0070C0"/>
            <w:tcMar>
              <w:top w:w="85" w:type="dxa"/>
              <w:left w:w="85" w:type="dxa"/>
              <w:bottom w:w="85" w:type="dxa"/>
              <w:right w:w="85" w:type="dxa"/>
            </w:tcMar>
          </w:tcPr>
          <w:p w14:paraId="66038CC8" w14:textId="77777777" w:rsidR="00B72F45" w:rsidRPr="006627F4" w:rsidRDefault="00B72F45" w:rsidP="00114B22">
            <w:pPr>
              <w:pStyle w:val="NTUMasterNormal"/>
            </w:pPr>
            <w:r w:rsidRPr="006627F4">
              <w:t>Glossary</w:t>
            </w:r>
          </w:p>
        </w:tc>
      </w:tr>
      <w:tr w:rsidR="00B72F45" w:rsidRPr="006627F4" w14:paraId="4918B878" w14:textId="77777777" w:rsidTr="00114B22">
        <w:trPr>
          <w:cantSplit/>
          <w:trHeight w:val="18"/>
        </w:trPr>
        <w:tc>
          <w:tcPr>
            <w:tcW w:w="1151" w:type="pct"/>
            <w:tcMar>
              <w:top w:w="85" w:type="dxa"/>
              <w:left w:w="85" w:type="dxa"/>
              <w:bottom w:w="85" w:type="dxa"/>
              <w:right w:w="85" w:type="dxa"/>
            </w:tcMar>
          </w:tcPr>
          <w:p w14:paraId="01917DB5" w14:textId="77777777" w:rsidR="00B72F45" w:rsidRPr="009253DE" w:rsidRDefault="00B72F45" w:rsidP="00114B22">
            <w:pPr>
              <w:pStyle w:val="NTUtabletextBold"/>
            </w:pPr>
            <w:r w:rsidRPr="00156AAA">
              <w:t>Annual exceedance probability (AEP)</w:t>
            </w:r>
          </w:p>
        </w:tc>
        <w:tc>
          <w:tcPr>
            <w:tcW w:w="3849" w:type="pct"/>
            <w:gridSpan w:val="2"/>
          </w:tcPr>
          <w:p w14:paraId="45903A48" w14:textId="77777777" w:rsidR="00B72F45" w:rsidRPr="006627F4" w:rsidRDefault="00B72F45" w:rsidP="00114B22">
            <w:pPr>
              <w:pStyle w:val="NTUtabletext"/>
            </w:pPr>
            <w:r>
              <w:t>T</w:t>
            </w:r>
            <w:r w:rsidRPr="00156AAA">
              <w:t>he probability of exceedance of a given occurrence, generally a storm, in a period of 1 year (1% AEP is equal to 1 in 100 year storm).</w:t>
            </w:r>
          </w:p>
        </w:tc>
      </w:tr>
      <w:tr w:rsidR="00B72F45" w:rsidRPr="006627F4" w14:paraId="5BF0A18B" w14:textId="77777777" w:rsidTr="00114B22">
        <w:trPr>
          <w:cantSplit/>
          <w:trHeight w:val="18"/>
        </w:trPr>
        <w:tc>
          <w:tcPr>
            <w:tcW w:w="1151" w:type="pct"/>
            <w:tcMar>
              <w:top w:w="85" w:type="dxa"/>
              <w:left w:w="85" w:type="dxa"/>
              <w:bottom w:w="85" w:type="dxa"/>
              <w:right w:w="85" w:type="dxa"/>
            </w:tcMar>
          </w:tcPr>
          <w:p w14:paraId="5469B081" w14:textId="77777777" w:rsidR="00B72F45" w:rsidRPr="009253DE" w:rsidRDefault="00B72F45" w:rsidP="00114B22">
            <w:pPr>
              <w:pStyle w:val="NTUtabletextBold"/>
            </w:pPr>
            <w:r w:rsidRPr="00156AAA">
              <w:t>Average Dry Weather Flow (ADWF)</w:t>
            </w:r>
          </w:p>
        </w:tc>
        <w:tc>
          <w:tcPr>
            <w:tcW w:w="3849" w:type="pct"/>
            <w:gridSpan w:val="2"/>
          </w:tcPr>
          <w:p w14:paraId="75A527B1" w14:textId="77777777" w:rsidR="00B72F45" w:rsidRPr="006627F4" w:rsidRDefault="00B72F45" w:rsidP="00114B22">
            <w:pPr>
              <w:pStyle w:val="NTUtabletext"/>
            </w:pPr>
            <w:r>
              <w:t>The average sanitary flow in the wastewater sewer over a 24-hour period during Dry Weather.</w:t>
            </w:r>
          </w:p>
        </w:tc>
      </w:tr>
      <w:tr w:rsidR="00B72F45" w:rsidRPr="006627F4" w14:paraId="23EE93B7" w14:textId="77777777" w:rsidTr="00114B22">
        <w:trPr>
          <w:cantSplit/>
          <w:trHeight w:val="18"/>
        </w:trPr>
        <w:tc>
          <w:tcPr>
            <w:tcW w:w="1151" w:type="pct"/>
            <w:tcMar>
              <w:top w:w="85" w:type="dxa"/>
              <w:left w:w="85" w:type="dxa"/>
              <w:bottom w:w="85" w:type="dxa"/>
              <w:right w:w="85" w:type="dxa"/>
            </w:tcMar>
          </w:tcPr>
          <w:p w14:paraId="39722F3B" w14:textId="77777777" w:rsidR="00B72F45" w:rsidRPr="009253DE" w:rsidRDefault="00B72F45" w:rsidP="00114B22">
            <w:pPr>
              <w:pStyle w:val="NTUtabletextBold"/>
            </w:pPr>
            <w:r w:rsidRPr="00156AAA">
              <w:t>Assets</w:t>
            </w:r>
          </w:p>
        </w:tc>
        <w:tc>
          <w:tcPr>
            <w:tcW w:w="3849" w:type="pct"/>
            <w:gridSpan w:val="2"/>
          </w:tcPr>
          <w:p w14:paraId="6C8ACD30" w14:textId="77777777" w:rsidR="00B72F45" w:rsidRPr="006627F4" w:rsidRDefault="00B72F45" w:rsidP="00114B22">
            <w:pPr>
              <w:pStyle w:val="NTUtabletext"/>
            </w:pPr>
            <w:r>
              <w:t>W</w:t>
            </w:r>
            <w:r w:rsidRPr="00156AAA">
              <w:t>astewater infrastructure owned and operated by</w:t>
            </w:r>
            <w:r>
              <w:t xml:space="preserve"> the WSE</w:t>
            </w:r>
          </w:p>
        </w:tc>
      </w:tr>
      <w:tr w:rsidR="00EF71BC" w:rsidRPr="006627F4" w14:paraId="388E5B14" w14:textId="77777777" w:rsidTr="00114B22">
        <w:trPr>
          <w:cantSplit/>
          <w:trHeight w:val="18"/>
        </w:trPr>
        <w:tc>
          <w:tcPr>
            <w:tcW w:w="1151" w:type="pct"/>
            <w:tcMar>
              <w:top w:w="85" w:type="dxa"/>
              <w:left w:w="85" w:type="dxa"/>
              <w:bottom w:w="85" w:type="dxa"/>
              <w:right w:w="85" w:type="dxa"/>
            </w:tcMar>
          </w:tcPr>
          <w:p w14:paraId="2B32EF72" w14:textId="4F6F27B3" w:rsidR="00EF71BC" w:rsidRPr="00156AAA" w:rsidRDefault="00EF71BC" w:rsidP="00114B22">
            <w:pPr>
              <w:pStyle w:val="NTUtabletextBold"/>
            </w:pPr>
            <w:r w:rsidRPr="00B76783">
              <w:t>Best Practicable Option (BPO)</w:t>
            </w:r>
          </w:p>
        </w:tc>
        <w:tc>
          <w:tcPr>
            <w:tcW w:w="3849" w:type="pct"/>
            <w:gridSpan w:val="2"/>
          </w:tcPr>
          <w:p w14:paraId="13BB39D2" w14:textId="77777777" w:rsidR="00EF71BC" w:rsidRPr="00AF7C1A" w:rsidRDefault="00EF71BC" w:rsidP="00EF71BC">
            <w:pPr>
              <w:pStyle w:val="NTUtabletext"/>
            </w:pPr>
            <w:r w:rsidRPr="00AF7C1A">
              <w:t>In relation to a discharge of a contaminant or an emission of noise, means the best method for preventing or minimising the adverse effects on the environment having regard, among other things, to:</w:t>
            </w:r>
          </w:p>
          <w:p w14:paraId="10A5F3CD" w14:textId="77777777" w:rsidR="00EF71BC" w:rsidRPr="00DF6CA0" w:rsidRDefault="00EF71BC" w:rsidP="00EF71BC">
            <w:pPr>
              <w:pStyle w:val="NTUtabletext"/>
              <w:numPr>
                <w:ilvl w:val="0"/>
                <w:numId w:val="19"/>
              </w:numPr>
            </w:pPr>
            <w:r w:rsidRPr="00DF6CA0">
              <w:t>The nature of the discharge or emission and the sensitivity of the receiving environment to adverse effects; and</w:t>
            </w:r>
          </w:p>
          <w:p w14:paraId="4C1F959C" w14:textId="77777777" w:rsidR="00EF71BC" w:rsidRDefault="00EF71BC" w:rsidP="00EF71BC">
            <w:pPr>
              <w:pStyle w:val="NTUtabletext"/>
              <w:numPr>
                <w:ilvl w:val="0"/>
                <w:numId w:val="19"/>
              </w:numPr>
            </w:pPr>
            <w:r w:rsidRPr="00DF6CA0">
              <w:t>The financial implications, and the effects on the environment, of that option when compared with other options; and</w:t>
            </w:r>
          </w:p>
          <w:p w14:paraId="5C18A568" w14:textId="51ABEFE9" w:rsidR="00EF71BC" w:rsidRDefault="00EF71BC" w:rsidP="00EF71BC">
            <w:pPr>
              <w:pStyle w:val="NTUtabletext"/>
              <w:numPr>
                <w:ilvl w:val="0"/>
                <w:numId w:val="19"/>
              </w:numPr>
            </w:pPr>
            <w:r w:rsidRPr="00DF6CA0">
              <w:t>The current state of technical knowledge and the likelihood that the option can be successfully applied.</w:t>
            </w:r>
          </w:p>
        </w:tc>
      </w:tr>
      <w:tr w:rsidR="00B72F45" w:rsidRPr="006627F4" w14:paraId="51613CA6" w14:textId="77777777" w:rsidTr="00114B22">
        <w:trPr>
          <w:cantSplit/>
          <w:trHeight w:val="18"/>
        </w:trPr>
        <w:tc>
          <w:tcPr>
            <w:tcW w:w="1151" w:type="pct"/>
            <w:tcMar>
              <w:top w:w="85" w:type="dxa"/>
              <w:left w:w="85" w:type="dxa"/>
              <w:bottom w:w="85" w:type="dxa"/>
              <w:right w:w="85" w:type="dxa"/>
            </w:tcMar>
          </w:tcPr>
          <w:p w14:paraId="12A58EE7" w14:textId="77777777" w:rsidR="00B72F45" w:rsidRPr="009253DE" w:rsidRDefault="00B72F45" w:rsidP="00114B22">
            <w:pPr>
              <w:pStyle w:val="NTUtabletextBold"/>
            </w:pPr>
            <w:r w:rsidRPr="009F7CCC">
              <w:t>Brownfield</w:t>
            </w:r>
          </w:p>
        </w:tc>
        <w:tc>
          <w:tcPr>
            <w:tcW w:w="3849" w:type="pct"/>
            <w:gridSpan w:val="2"/>
          </w:tcPr>
          <w:p w14:paraId="7467E8F7" w14:textId="54DB15BF" w:rsidR="00B72F45" w:rsidRPr="00AC64DC" w:rsidRDefault="00B72F45" w:rsidP="00114B22">
            <w:pPr>
              <w:pStyle w:val="NTUtabletext"/>
            </w:pPr>
            <w:r>
              <w:t>A land area that has existing or legacy infrastructure, and/or land that has been contaminated</w:t>
            </w:r>
            <w:r w:rsidR="00EF71BC">
              <w:t xml:space="preserve"> or; any already urbanised land to be redeveloped, often for more intensive or different land.</w:t>
            </w:r>
          </w:p>
        </w:tc>
      </w:tr>
      <w:tr w:rsidR="00EF71BC" w:rsidRPr="006627F4" w14:paraId="4118689F" w14:textId="77777777" w:rsidTr="00114B22">
        <w:trPr>
          <w:cantSplit/>
          <w:trHeight w:val="18"/>
        </w:trPr>
        <w:tc>
          <w:tcPr>
            <w:tcW w:w="1151" w:type="pct"/>
            <w:tcMar>
              <w:top w:w="85" w:type="dxa"/>
              <w:left w:w="85" w:type="dxa"/>
              <w:bottom w:w="85" w:type="dxa"/>
              <w:right w:w="85" w:type="dxa"/>
            </w:tcMar>
          </w:tcPr>
          <w:p w14:paraId="1A7DE073" w14:textId="2969A54A" w:rsidR="00EF71BC" w:rsidRPr="009F7CCC" w:rsidRDefault="00EF71BC" w:rsidP="00EF71BC">
            <w:pPr>
              <w:pStyle w:val="NTUtabletextBold"/>
            </w:pPr>
            <w:r w:rsidRPr="00E36D03">
              <w:t>Catchment</w:t>
            </w:r>
          </w:p>
        </w:tc>
        <w:tc>
          <w:tcPr>
            <w:tcW w:w="3849" w:type="pct"/>
            <w:gridSpan w:val="2"/>
          </w:tcPr>
          <w:p w14:paraId="2D488F61" w14:textId="77777777" w:rsidR="00EF71BC" w:rsidRPr="00027650" w:rsidRDefault="00EF71BC" w:rsidP="00EF71BC">
            <w:pPr>
              <w:pStyle w:val="NTUtabletext"/>
            </w:pPr>
            <w:r w:rsidRPr="00027650">
              <w:t>The total surface area draining to a particular point of interest or discharge point.</w:t>
            </w:r>
          </w:p>
          <w:p w14:paraId="6A184B94" w14:textId="53B152C8" w:rsidR="00EF71BC" w:rsidRDefault="00EF71BC" w:rsidP="00EF71BC">
            <w:pPr>
              <w:pStyle w:val="NTUtabletext"/>
            </w:pPr>
            <w:r w:rsidRPr="00027650">
              <w:t>Note: in reticulated urban areas the piped catchment may not be identical to the overland flow catchment.</w:t>
            </w:r>
          </w:p>
        </w:tc>
      </w:tr>
      <w:tr w:rsidR="00730875" w:rsidRPr="006627F4" w14:paraId="446D70A0"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7354BE02" w14:textId="77777777" w:rsidR="00730875" w:rsidRPr="009253DE" w:rsidRDefault="00730875" w:rsidP="00C82F2A">
            <w:pPr>
              <w:pStyle w:val="NTUtabletextBold"/>
            </w:pPr>
            <w:r w:rsidRPr="009253DE">
              <w:t>Charging [the watermain]</w:t>
            </w:r>
          </w:p>
        </w:tc>
        <w:tc>
          <w:tcPr>
            <w:tcW w:w="3849" w:type="pct"/>
            <w:gridSpan w:val="2"/>
          </w:tcPr>
          <w:p w14:paraId="150A3A5B" w14:textId="77777777" w:rsidR="00730875" w:rsidRPr="006627F4" w:rsidRDefault="00730875" w:rsidP="00C82F2A">
            <w:pPr>
              <w:pStyle w:val="NTUtabletext"/>
            </w:pPr>
            <w:r w:rsidRPr="006627F4">
              <w:t>Filling the watermain with potable water from</w:t>
            </w:r>
            <w:r>
              <w:t xml:space="preserve"> the Entity’s</w:t>
            </w:r>
            <w:r w:rsidRPr="006627F4">
              <w:t xml:space="preserve"> supply network</w:t>
            </w:r>
          </w:p>
        </w:tc>
      </w:tr>
      <w:tr w:rsidR="00730875" w:rsidRPr="006627F4" w14:paraId="03051306"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6776BD65" w14:textId="77777777" w:rsidR="00730875" w:rsidRPr="009253DE" w:rsidRDefault="00730875" w:rsidP="00C82F2A">
            <w:pPr>
              <w:pStyle w:val="NTUtabletextBold"/>
            </w:pPr>
            <w:r w:rsidRPr="009253DE">
              <w:t>Chlorination</w:t>
            </w:r>
          </w:p>
        </w:tc>
        <w:tc>
          <w:tcPr>
            <w:tcW w:w="3849" w:type="pct"/>
            <w:gridSpan w:val="2"/>
          </w:tcPr>
          <w:p w14:paraId="514CB03F" w14:textId="77777777" w:rsidR="00730875" w:rsidRPr="006627F4" w:rsidRDefault="00730875" w:rsidP="00C82F2A">
            <w:pPr>
              <w:pStyle w:val="NTUtabletext"/>
            </w:pPr>
            <w:r w:rsidRPr="006627F4">
              <w:t>Increasing the concentration of free available chlorine to</w:t>
            </w:r>
          </w:p>
          <w:p w14:paraId="06123197" w14:textId="77777777" w:rsidR="00730875" w:rsidRPr="006627F4" w:rsidRDefault="00730875" w:rsidP="00C82F2A">
            <w:pPr>
              <w:pStyle w:val="NTUtabletext"/>
            </w:pPr>
            <w:r w:rsidRPr="006627F4">
              <w:t>achieve disinfection over a 24-hour period. Concentration range of 5-10ppm</w:t>
            </w:r>
          </w:p>
        </w:tc>
      </w:tr>
      <w:tr w:rsidR="00EF71BC" w:rsidRPr="006627F4" w14:paraId="58C538C2"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425399F8" w14:textId="0BDA767A" w:rsidR="00EF71BC" w:rsidRPr="009253DE" w:rsidRDefault="00EF71BC" w:rsidP="00C82F2A">
            <w:pPr>
              <w:pStyle w:val="NTUtabletextBold"/>
            </w:pPr>
            <w:r w:rsidRPr="00027650">
              <w:t>Coastal marine area</w:t>
            </w:r>
          </w:p>
        </w:tc>
        <w:tc>
          <w:tcPr>
            <w:tcW w:w="3849" w:type="pct"/>
            <w:gridSpan w:val="2"/>
          </w:tcPr>
          <w:p w14:paraId="1C468767" w14:textId="54894BFE" w:rsidR="00EF71BC" w:rsidRPr="006627F4" w:rsidRDefault="00EF71BC" w:rsidP="00C82F2A">
            <w:pPr>
              <w:pStyle w:val="NTUtabletext"/>
            </w:pPr>
            <w:r w:rsidRPr="00027650">
              <w:t>Generally, the area below mean high water springs.</w:t>
            </w:r>
          </w:p>
        </w:tc>
      </w:tr>
      <w:tr w:rsidR="00EF71BC" w:rsidRPr="006627F4" w14:paraId="6782F752"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79DD99B7" w14:textId="745CD0F7" w:rsidR="00EF71BC" w:rsidRPr="00027650" w:rsidRDefault="00EF71BC" w:rsidP="00C82F2A">
            <w:pPr>
              <w:pStyle w:val="NTUtabletextBold"/>
            </w:pPr>
            <w:r>
              <w:lastRenderedPageBreak/>
              <w:t>Code of Compliance Certificate</w:t>
            </w:r>
          </w:p>
        </w:tc>
        <w:tc>
          <w:tcPr>
            <w:tcW w:w="3849" w:type="pct"/>
            <w:gridSpan w:val="2"/>
          </w:tcPr>
          <w:p w14:paraId="455EF8FE" w14:textId="3A99BD05" w:rsidR="00EF71BC" w:rsidRPr="00027650" w:rsidRDefault="00EF71BC" w:rsidP="00C82F2A">
            <w:pPr>
              <w:pStyle w:val="NTUtabletext"/>
            </w:pPr>
            <w:r w:rsidRPr="00027650">
              <w:t>A certificate issued by a Building Consent Authority (BCA) at the end of a building project to demonstrate satisfaction that the completed building work complies with the original building consent</w:t>
            </w:r>
          </w:p>
        </w:tc>
      </w:tr>
      <w:tr w:rsidR="00B72F45" w:rsidRPr="006627F4" w14:paraId="07D9EFCC" w14:textId="77777777" w:rsidTr="00114B22">
        <w:trPr>
          <w:cantSplit/>
          <w:trHeight w:val="18"/>
        </w:trPr>
        <w:tc>
          <w:tcPr>
            <w:tcW w:w="1151" w:type="pct"/>
            <w:tcMar>
              <w:top w:w="85" w:type="dxa"/>
              <w:left w:w="85" w:type="dxa"/>
              <w:bottom w:w="85" w:type="dxa"/>
              <w:right w:w="85" w:type="dxa"/>
            </w:tcMar>
          </w:tcPr>
          <w:p w14:paraId="1A607BF5" w14:textId="77777777" w:rsidR="00B72F45" w:rsidRPr="009253DE" w:rsidRDefault="00B72F45" w:rsidP="00114B22">
            <w:pPr>
              <w:pStyle w:val="NTUtabletextBold"/>
            </w:pPr>
            <w:r w:rsidRPr="009F7CCC">
              <w:t>Combined system</w:t>
            </w:r>
          </w:p>
        </w:tc>
        <w:tc>
          <w:tcPr>
            <w:tcW w:w="3849" w:type="pct"/>
            <w:gridSpan w:val="2"/>
          </w:tcPr>
          <w:p w14:paraId="02801CB5" w14:textId="77777777" w:rsidR="00B72F45" w:rsidRPr="006627F4" w:rsidRDefault="00B72F45" w:rsidP="00114B22">
            <w:pPr>
              <w:pStyle w:val="NTUtabletext"/>
            </w:pPr>
            <w:r w:rsidRPr="009F7CCC">
              <w:t>A drainage network that collects wastewater and stormwater in a</w:t>
            </w:r>
            <w:r>
              <w:t xml:space="preserve"> </w:t>
            </w:r>
            <w:r w:rsidRPr="009F7CCC">
              <w:t>single pipe system or network.</w:t>
            </w:r>
          </w:p>
        </w:tc>
      </w:tr>
      <w:tr w:rsidR="00EF71BC" w:rsidRPr="006627F4" w14:paraId="707EAE2A" w14:textId="77777777" w:rsidTr="00114B22">
        <w:trPr>
          <w:cantSplit/>
          <w:trHeight w:val="18"/>
        </w:trPr>
        <w:tc>
          <w:tcPr>
            <w:tcW w:w="1151" w:type="pct"/>
            <w:tcMar>
              <w:top w:w="85" w:type="dxa"/>
              <w:left w:w="85" w:type="dxa"/>
              <w:bottom w:w="85" w:type="dxa"/>
              <w:right w:w="85" w:type="dxa"/>
            </w:tcMar>
          </w:tcPr>
          <w:p w14:paraId="696358EE" w14:textId="2FAF3FFF" w:rsidR="00EF71BC" w:rsidRPr="009F7CCC" w:rsidRDefault="00EF71BC" w:rsidP="00114B22">
            <w:pPr>
              <w:pStyle w:val="NTUtabletextBold"/>
            </w:pPr>
            <w:r>
              <w:t>Culvert</w:t>
            </w:r>
          </w:p>
        </w:tc>
        <w:tc>
          <w:tcPr>
            <w:tcW w:w="3849" w:type="pct"/>
            <w:gridSpan w:val="2"/>
          </w:tcPr>
          <w:p w14:paraId="41327C6F" w14:textId="77777777" w:rsidR="00EF71BC" w:rsidRPr="00027650" w:rsidRDefault="00EF71BC" w:rsidP="00EF71BC">
            <w:pPr>
              <w:pStyle w:val="NTUtabletext"/>
            </w:pPr>
            <w:r w:rsidRPr="00027650">
              <w:t>Any conduit that transfers the flows of a watercourse or waterway across a road or</w:t>
            </w:r>
          </w:p>
          <w:p w14:paraId="23578B10" w14:textId="48DC7EB9" w:rsidR="00EF71BC" w:rsidRPr="009F7CCC" w:rsidRDefault="00EF71BC" w:rsidP="00EF71BC">
            <w:pPr>
              <w:pStyle w:val="NTUtabletext"/>
            </w:pPr>
            <w:r w:rsidRPr="00027650">
              <w:t>embankment.</w:t>
            </w:r>
          </w:p>
        </w:tc>
      </w:tr>
      <w:tr w:rsidR="00B72F45" w:rsidRPr="006627F4" w14:paraId="4A7FE244" w14:textId="77777777" w:rsidTr="00114B22">
        <w:trPr>
          <w:cantSplit/>
          <w:trHeight w:val="18"/>
        </w:trPr>
        <w:tc>
          <w:tcPr>
            <w:tcW w:w="1151" w:type="pct"/>
            <w:tcMar>
              <w:top w:w="85" w:type="dxa"/>
              <w:left w:w="85" w:type="dxa"/>
              <w:bottom w:w="85" w:type="dxa"/>
              <w:right w:w="85" w:type="dxa"/>
            </w:tcMar>
          </w:tcPr>
          <w:p w14:paraId="4ED126C0" w14:textId="77777777" w:rsidR="00B72F45" w:rsidRPr="009253DE" w:rsidRDefault="00B72F45" w:rsidP="00114B22">
            <w:pPr>
              <w:pStyle w:val="NTUtabletextBold"/>
            </w:pPr>
            <w:r w:rsidRPr="00632AE6">
              <w:t>Developer</w:t>
            </w:r>
          </w:p>
        </w:tc>
        <w:tc>
          <w:tcPr>
            <w:tcW w:w="3849" w:type="pct"/>
            <w:gridSpan w:val="2"/>
          </w:tcPr>
          <w:p w14:paraId="48C862B7" w14:textId="77777777" w:rsidR="00B72F45" w:rsidRPr="006627F4" w:rsidRDefault="00B72F45" w:rsidP="00114B22">
            <w:pPr>
              <w:pStyle w:val="NTUtabletext"/>
            </w:pPr>
            <w:r w:rsidRPr="00632AE6">
              <w:t>An individual or organisation having the financial responsibility for</w:t>
            </w:r>
            <w:r>
              <w:t xml:space="preserve"> </w:t>
            </w:r>
            <w:r w:rsidRPr="00632AE6">
              <w:t>the development project. Developer includes the owner.</w:t>
            </w:r>
          </w:p>
        </w:tc>
      </w:tr>
      <w:tr w:rsidR="00B72F45" w:rsidRPr="006627F4" w14:paraId="4342D279" w14:textId="77777777" w:rsidTr="00114B22">
        <w:trPr>
          <w:cantSplit/>
          <w:trHeight w:val="18"/>
        </w:trPr>
        <w:tc>
          <w:tcPr>
            <w:tcW w:w="1151" w:type="pct"/>
            <w:tcMar>
              <w:top w:w="85" w:type="dxa"/>
              <w:left w:w="85" w:type="dxa"/>
              <w:bottom w:w="85" w:type="dxa"/>
              <w:right w:w="85" w:type="dxa"/>
            </w:tcMar>
          </w:tcPr>
          <w:p w14:paraId="2718381A" w14:textId="77777777" w:rsidR="00B72F45" w:rsidRPr="009253DE" w:rsidRDefault="00B72F45" w:rsidP="00114B22">
            <w:pPr>
              <w:pStyle w:val="NTUtabletextBold"/>
            </w:pPr>
            <w:r w:rsidRPr="00632AE6">
              <w:t>Designer</w:t>
            </w:r>
          </w:p>
        </w:tc>
        <w:tc>
          <w:tcPr>
            <w:tcW w:w="3849" w:type="pct"/>
            <w:gridSpan w:val="2"/>
          </w:tcPr>
          <w:p w14:paraId="672CF869" w14:textId="77777777" w:rsidR="00B72F45" w:rsidRPr="006627F4" w:rsidRDefault="00B72F45" w:rsidP="00114B22">
            <w:pPr>
              <w:pStyle w:val="NTUtabletext"/>
            </w:pPr>
            <w:r w:rsidRPr="00632AE6">
              <w:t>The developer’s professional advisor, appointed by the developer to complete the investigation, design, contract administration, construction supervision, and certification of the works on completion.</w:t>
            </w:r>
          </w:p>
        </w:tc>
      </w:tr>
      <w:tr w:rsidR="00EF71BC" w:rsidRPr="006627F4" w14:paraId="0551F959" w14:textId="77777777" w:rsidTr="00114B22">
        <w:trPr>
          <w:cantSplit/>
          <w:trHeight w:val="18"/>
        </w:trPr>
        <w:tc>
          <w:tcPr>
            <w:tcW w:w="1151" w:type="pct"/>
            <w:tcMar>
              <w:top w:w="85" w:type="dxa"/>
              <w:left w:w="85" w:type="dxa"/>
              <w:bottom w:w="85" w:type="dxa"/>
              <w:right w:w="85" w:type="dxa"/>
            </w:tcMar>
          </w:tcPr>
          <w:p w14:paraId="7AB0D8E4" w14:textId="3C7D0307" w:rsidR="00EF71BC" w:rsidRPr="00632AE6" w:rsidRDefault="00EF71BC" w:rsidP="00114B22">
            <w:pPr>
              <w:pStyle w:val="NTUtabletextBold"/>
            </w:pPr>
            <w:r w:rsidRPr="00027650">
              <w:t>Design flows</w:t>
            </w:r>
          </w:p>
        </w:tc>
        <w:tc>
          <w:tcPr>
            <w:tcW w:w="3849" w:type="pct"/>
            <w:gridSpan w:val="2"/>
          </w:tcPr>
          <w:p w14:paraId="6D7D91DF" w14:textId="4406F28C" w:rsidR="00EF71BC" w:rsidRPr="00632AE6" w:rsidRDefault="00EF71BC" w:rsidP="00114B22">
            <w:pPr>
              <w:pStyle w:val="NTUtabletext"/>
            </w:pPr>
            <w:r w:rsidRPr="00027650">
              <w:t>The flows selected as a basis for the design of works in the system.</w:t>
            </w:r>
          </w:p>
        </w:tc>
      </w:tr>
      <w:tr w:rsidR="00EF71BC" w:rsidRPr="006627F4" w14:paraId="464F6F47" w14:textId="77777777" w:rsidTr="00114B22">
        <w:trPr>
          <w:cantSplit/>
          <w:trHeight w:val="18"/>
        </w:trPr>
        <w:tc>
          <w:tcPr>
            <w:tcW w:w="1151" w:type="pct"/>
            <w:tcMar>
              <w:top w:w="85" w:type="dxa"/>
              <w:left w:w="85" w:type="dxa"/>
              <w:bottom w:w="85" w:type="dxa"/>
              <w:right w:w="85" w:type="dxa"/>
            </w:tcMar>
          </w:tcPr>
          <w:p w14:paraId="3F5025B0" w14:textId="1AD305E3" w:rsidR="00EF71BC" w:rsidRPr="00632AE6" w:rsidRDefault="00EF71BC" w:rsidP="00114B22">
            <w:pPr>
              <w:pStyle w:val="NTUtabletextBold"/>
            </w:pPr>
            <w:r>
              <w:t>Design storm</w:t>
            </w:r>
          </w:p>
        </w:tc>
        <w:tc>
          <w:tcPr>
            <w:tcW w:w="3849" w:type="pct"/>
            <w:gridSpan w:val="2"/>
          </w:tcPr>
          <w:p w14:paraId="00C2A563" w14:textId="3ABA1CCD" w:rsidR="00EF71BC" w:rsidRPr="00632AE6" w:rsidRDefault="00EF71BC" w:rsidP="00EF71BC">
            <w:pPr>
              <w:pStyle w:val="NTUtabletext"/>
            </w:pPr>
            <w:r w:rsidRPr="00027650">
              <w:t>The rainfall calculated from historical records that can be expected for a specific return period</w:t>
            </w:r>
            <w:r>
              <w:t xml:space="preserve"> </w:t>
            </w:r>
            <w:r w:rsidRPr="00027650">
              <w:t>and duration.</w:t>
            </w:r>
          </w:p>
        </w:tc>
      </w:tr>
      <w:tr w:rsidR="00B72F45" w:rsidRPr="006627F4" w14:paraId="3B481445" w14:textId="77777777" w:rsidTr="00114B22">
        <w:trPr>
          <w:cantSplit/>
          <w:trHeight w:val="18"/>
        </w:trPr>
        <w:tc>
          <w:tcPr>
            <w:tcW w:w="1151" w:type="pct"/>
            <w:tcMar>
              <w:top w:w="85" w:type="dxa"/>
              <w:left w:w="85" w:type="dxa"/>
              <w:bottom w:w="85" w:type="dxa"/>
              <w:right w:w="85" w:type="dxa"/>
            </w:tcMar>
          </w:tcPr>
          <w:p w14:paraId="75914F3C" w14:textId="77777777" w:rsidR="00B72F45" w:rsidRPr="009253DE" w:rsidRDefault="00B72F45" w:rsidP="00114B22">
            <w:pPr>
              <w:pStyle w:val="NTUtabletextBold"/>
            </w:pPr>
            <w:r w:rsidRPr="00632AE6">
              <w:t>Drain lines</w:t>
            </w:r>
          </w:p>
        </w:tc>
        <w:tc>
          <w:tcPr>
            <w:tcW w:w="3849" w:type="pct"/>
            <w:gridSpan w:val="2"/>
          </w:tcPr>
          <w:p w14:paraId="6299A47C" w14:textId="77777777" w:rsidR="00B72F45" w:rsidRPr="006627F4" w:rsidRDefault="00B72F45" w:rsidP="00114B22">
            <w:pPr>
              <w:pStyle w:val="NTUtabletext"/>
            </w:pPr>
            <w:r w:rsidRPr="00632AE6">
              <w:t>Wastewater lateral connections, or sub-soil groundwater drains, wastewater mains, or stormwater run-off pipes that are less than 300mm in diameter.</w:t>
            </w:r>
          </w:p>
        </w:tc>
      </w:tr>
      <w:tr w:rsidR="00B72F45" w:rsidRPr="006627F4" w14:paraId="43185113" w14:textId="77777777" w:rsidTr="00114B22">
        <w:trPr>
          <w:cantSplit/>
          <w:trHeight w:val="18"/>
        </w:trPr>
        <w:tc>
          <w:tcPr>
            <w:tcW w:w="1151" w:type="pct"/>
            <w:tcMar>
              <w:top w:w="85" w:type="dxa"/>
              <w:left w:w="85" w:type="dxa"/>
              <w:bottom w:w="85" w:type="dxa"/>
              <w:right w:w="85" w:type="dxa"/>
            </w:tcMar>
          </w:tcPr>
          <w:p w14:paraId="573E7222" w14:textId="77777777" w:rsidR="00B72F45" w:rsidRPr="009253DE" w:rsidRDefault="00B72F45" w:rsidP="00114B22">
            <w:pPr>
              <w:pStyle w:val="NTUtabletextBold"/>
            </w:pPr>
            <w:r w:rsidRPr="00632AE6">
              <w:t>Dry weather</w:t>
            </w:r>
          </w:p>
        </w:tc>
        <w:tc>
          <w:tcPr>
            <w:tcW w:w="3849" w:type="pct"/>
            <w:gridSpan w:val="2"/>
          </w:tcPr>
          <w:p w14:paraId="11AD5EBE" w14:textId="77777777" w:rsidR="00B72F45" w:rsidRPr="006627F4" w:rsidRDefault="00B72F45" w:rsidP="00114B22">
            <w:pPr>
              <w:pStyle w:val="NTUtabletext"/>
            </w:pPr>
            <w:r w:rsidRPr="00632AE6">
              <w:t>A consecutive period of seven days or longer with total rainfall less than or equal to 1mm.</w:t>
            </w:r>
          </w:p>
        </w:tc>
      </w:tr>
      <w:tr w:rsidR="00B72F45" w:rsidRPr="006627F4" w14:paraId="66F0E43F" w14:textId="77777777" w:rsidTr="00114B22">
        <w:trPr>
          <w:cantSplit/>
          <w:trHeight w:val="18"/>
        </w:trPr>
        <w:tc>
          <w:tcPr>
            <w:tcW w:w="1151" w:type="pct"/>
            <w:tcMar>
              <w:top w:w="85" w:type="dxa"/>
              <w:left w:w="85" w:type="dxa"/>
              <w:bottom w:w="85" w:type="dxa"/>
              <w:right w:w="85" w:type="dxa"/>
            </w:tcMar>
          </w:tcPr>
          <w:p w14:paraId="16EB2CA2" w14:textId="77777777" w:rsidR="00B72F45" w:rsidRPr="009253DE" w:rsidRDefault="00B72F45" w:rsidP="00114B22">
            <w:pPr>
              <w:pStyle w:val="NTUtabletextBold"/>
            </w:pPr>
            <w:r w:rsidRPr="00632AE6">
              <w:t>Dwelling</w:t>
            </w:r>
          </w:p>
        </w:tc>
        <w:tc>
          <w:tcPr>
            <w:tcW w:w="3849" w:type="pct"/>
            <w:gridSpan w:val="2"/>
          </w:tcPr>
          <w:p w14:paraId="571BF773" w14:textId="77777777" w:rsidR="00B72F45" w:rsidRPr="006627F4" w:rsidRDefault="00B72F45" w:rsidP="00114B22">
            <w:pPr>
              <w:pStyle w:val="NTUtabletext"/>
            </w:pPr>
            <w:r w:rsidRPr="00632AE6">
              <w:t>Any building or group of buildings, or part thereof used, or intended to be used principally for residential purposes and occupied, or intended to be occupied by not more than one household.</w:t>
            </w:r>
          </w:p>
        </w:tc>
      </w:tr>
      <w:tr w:rsidR="00730875" w:rsidRPr="006627F4" w14:paraId="603CFEFA"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3886F941" w14:textId="77777777" w:rsidR="00730875" w:rsidRPr="009253DE" w:rsidRDefault="00730875" w:rsidP="00C82F2A">
            <w:pPr>
              <w:pStyle w:val="NTUtabletextBold"/>
            </w:pPr>
            <w:r w:rsidRPr="009253DE">
              <w:t>Dwelling unit</w:t>
            </w:r>
            <w:r w:rsidRPr="009253DE">
              <w:rPr>
                <w:spacing w:val="-6"/>
              </w:rPr>
              <w:t xml:space="preserve"> </w:t>
            </w:r>
            <w:r w:rsidRPr="009253DE">
              <w:t>equivalent</w:t>
            </w:r>
            <w:r w:rsidRPr="009253DE">
              <w:rPr>
                <w:spacing w:val="-3"/>
              </w:rPr>
              <w:t xml:space="preserve"> </w:t>
            </w:r>
            <w:r w:rsidRPr="009253DE">
              <w:t>(DUE)</w:t>
            </w:r>
          </w:p>
        </w:tc>
        <w:tc>
          <w:tcPr>
            <w:tcW w:w="3849" w:type="pct"/>
            <w:gridSpan w:val="2"/>
          </w:tcPr>
          <w:p w14:paraId="2D14FF6B" w14:textId="77777777" w:rsidR="00730875" w:rsidRPr="006627F4" w:rsidRDefault="00730875" w:rsidP="00C82F2A">
            <w:pPr>
              <w:pStyle w:val="NTUtabletext"/>
              <w:rPr>
                <w:lang w:bidi="en-NZ"/>
              </w:rPr>
            </w:pPr>
            <w:r w:rsidRPr="006627F4">
              <w:rPr>
                <w:lang w:bidi="en-NZ"/>
              </w:rPr>
              <w:t>A unit of water demand of 220 kilolitres per year on average, or,</w:t>
            </w:r>
          </w:p>
          <w:p w14:paraId="19976651" w14:textId="77777777" w:rsidR="00730875" w:rsidRPr="006627F4" w:rsidRDefault="00730875" w:rsidP="00C82F2A">
            <w:pPr>
              <w:pStyle w:val="NTUtabletext"/>
              <w:rPr>
                <w:lang w:bidi="en-NZ"/>
              </w:rPr>
            </w:pPr>
            <w:r w:rsidRPr="006627F4">
              <w:rPr>
                <w:lang w:bidi="en-NZ"/>
              </w:rPr>
              <w:t>where a wastewater meter is installed, a unit of wastewater discharge of 209 kilolitres per year on average. The number of DUE’s is based on the additional demand for water and/or wastewater at the property and will be rounded to the nearest whole number.</w:t>
            </w:r>
          </w:p>
        </w:tc>
      </w:tr>
      <w:tr w:rsidR="00EF71BC" w:rsidRPr="006627F4" w14:paraId="604E661B"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4E65D93E" w14:textId="53C982F9" w:rsidR="00EF71BC" w:rsidRPr="009253DE" w:rsidRDefault="00EF71BC" w:rsidP="00C82F2A">
            <w:pPr>
              <w:pStyle w:val="NTUtabletextBold"/>
            </w:pPr>
            <w:r w:rsidRPr="00027650">
              <w:t>Engineering Approval</w:t>
            </w:r>
          </w:p>
        </w:tc>
        <w:tc>
          <w:tcPr>
            <w:tcW w:w="3849" w:type="pct"/>
            <w:gridSpan w:val="2"/>
          </w:tcPr>
          <w:p w14:paraId="344BF04C" w14:textId="454DE084" w:rsidR="00EF71BC" w:rsidRPr="006627F4" w:rsidRDefault="00EF71BC" w:rsidP="00C82F2A">
            <w:pPr>
              <w:pStyle w:val="NTUtabletext"/>
              <w:rPr>
                <w:lang w:bidi="en-NZ"/>
              </w:rPr>
            </w:pPr>
            <w:r w:rsidRPr="00027650">
              <w:t>Engineering Approval is required for works that are to be vested in W</w:t>
            </w:r>
            <w:r>
              <w:t>SE</w:t>
            </w:r>
            <w:r w:rsidRPr="00027650">
              <w:t xml:space="preserve"> ownership. This includes public stormwater, wastewater, water supply, roading and park assets. Engineering Approval may also be required in other circumstances, such as a condition of an underlying resource or building consent.</w:t>
            </w:r>
          </w:p>
        </w:tc>
      </w:tr>
      <w:tr w:rsidR="00C16227" w:rsidRPr="006627F4" w14:paraId="27AC4FC0" w14:textId="77777777" w:rsidTr="00C16227">
        <w:trPr>
          <w:cantSplit/>
          <w:trHeight w:val="18"/>
        </w:trPr>
        <w:tc>
          <w:tcPr>
            <w:tcW w:w="1151" w:type="pct"/>
            <w:tcMar>
              <w:top w:w="85" w:type="dxa"/>
              <w:left w:w="85" w:type="dxa"/>
              <w:bottom w:w="85" w:type="dxa"/>
              <w:right w:w="85" w:type="dxa"/>
            </w:tcMar>
          </w:tcPr>
          <w:p w14:paraId="0DD34AA8" w14:textId="77777777" w:rsidR="00C16227" w:rsidRPr="00515FC7" w:rsidRDefault="00C16227" w:rsidP="00C82F2A">
            <w:pPr>
              <w:pStyle w:val="NTUtabletextBold"/>
            </w:pPr>
            <w:r w:rsidRPr="00515FC7">
              <w:t>Extra Low Voltage</w:t>
            </w:r>
          </w:p>
        </w:tc>
        <w:tc>
          <w:tcPr>
            <w:tcW w:w="3849" w:type="pct"/>
            <w:gridSpan w:val="2"/>
          </w:tcPr>
          <w:p w14:paraId="7DE3CFEA" w14:textId="77777777" w:rsidR="00C16227" w:rsidRPr="009130A8" w:rsidRDefault="00C16227" w:rsidP="00C82F2A">
            <w:pPr>
              <w:pStyle w:val="NTUtabletext"/>
            </w:pPr>
            <w:r w:rsidRPr="00515FC7">
              <w:t>The range of voltage that can be classified as Extra-Low Voltage is alternating current not exceeding 50 V AC and direct current not exceeding 120 V DC</w:t>
            </w:r>
          </w:p>
        </w:tc>
      </w:tr>
      <w:tr w:rsidR="00EF71BC" w:rsidRPr="006627F4" w14:paraId="3096B1FB" w14:textId="77777777" w:rsidTr="00C16227">
        <w:trPr>
          <w:cantSplit/>
          <w:trHeight w:val="18"/>
        </w:trPr>
        <w:tc>
          <w:tcPr>
            <w:tcW w:w="1151" w:type="pct"/>
            <w:tcMar>
              <w:top w:w="85" w:type="dxa"/>
              <w:left w:w="85" w:type="dxa"/>
              <w:bottom w:w="85" w:type="dxa"/>
              <w:right w:w="85" w:type="dxa"/>
            </w:tcMar>
          </w:tcPr>
          <w:p w14:paraId="5F99A242" w14:textId="6FA090A2" w:rsidR="00EF71BC" w:rsidRPr="00515FC7" w:rsidRDefault="00EF71BC" w:rsidP="00C82F2A">
            <w:pPr>
              <w:pStyle w:val="NTUtabletextBold"/>
            </w:pPr>
            <w:r w:rsidRPr="00027650">
              <w:t>Floodplain</w:t>
            </w:r>
          </w:p>
        </w:tc>
        <w:tc>
          <w:tcPr>
            <w:tcW w:w="3849" w:type="pct"/>
            <w:gridSpan w:val="2"/>
          </w:tcPr>
          <w:p w14:paraId="23F2B1AB" w14:textId="09FE6796" w:rsidR="00EF71BC" w:rsidRPr="00515FC7" w:rsidRDefault="00EF71BC" w:rsidP="00EF71BC">
            <w:pPr>
              <w:pStyle w:val="NTUtabletext"/>
            </w:pPr>
            <w:r w:rsidRPr="00027650">
              <w:t>The area of land that is inundated by water during a specific flood event. In the SWCoP, the 1%</w:t>
            </w:r>
            <w:r>
              <w:t xml:space="preserve"> </w:t>
            </w:r>
            <w:r w:rsidRPr="00027650">
              <w:t>AEP flood event is used.</w:t>
            </w:r>
          </w:p>
        </w:tc>
      </w:tr>
      <w:tr w:rsidR="00EF71BC" w:rsidRPr="006627F4" w14:paraId="53E52D3C" w14:textId="77777777" w:rsidTr="00C16227">
        <w:trPr>
          <w:cantSplit/>
          <w:trHeight w:val="18"/>
        </w:trPr>
        <w:tc>
          <w:tcPr>
            <w:tcW w:w="1151" w:type="pct"/>
            <w:tcMar>
              <w:top w:w="85" w:type="dxa"/>
              <w:left w:w="85" w:type="dxa"/>
              <w:bottom w:w="85" w:type="dxa"/>
              <w:right w:w="85" w:type="dxa"/>
            </w:tcMar>
          </w:tcPr>
          <w:p w14:paraId="18C16C08" w14:textId="11AB4E12" w:rsidR="00EF71BC" w:rsidRPr="00515FC7" w:rsidRDefault="00EF71BC" w:rsidP="00EF71BC">
            <w:pPr>
              <w:pStyle w:val="NTUtabletextBold"/>
            </w:pPr>
            <w:r w:rsidRPr="00027650">
              <w:t>Frac-outs</w:t>
            </w:r>
          </w:p>
        </w:tc>
        <w:tc>
          <w:tcPr>
            <w:tcW w:w="3849" w:type="pct"/>
            <w:gridSpan w:val="2"/>
          </w:tcPr>
          <w:p w14:paraId="4F5A3D0E" w14:textId="2BD94BE8" w:rsidR="00EF71BC" w:rsidRPr="00515FC7" w:rsidRDefault="00EF71BC" w:rsidP="00EF71BC">
            <w:pPr>
              <w:pStyle w:val="NTUtabletext"/>
            </w:pPr>
            <w:r w:rsidRPr="00027650">
              <w:t>The inadvertent loss of drilling fluid from the borehole annulus to the surrounding soil as a result of excess downhole fluid pressure. Also known as hydrofracture.</w:t>
            </w:r>
          </w:p>
        </w:tc>
      </w:tr>
      <w:tr w:rsidR="00EF71BC" w:rsidRPr="006627F4" w14:paraId="69FF0B17" w14:textId="77777777" w:rsidTr="00C16227">
        <w:trPr>
          <w:cantSplit/>
          <w:trHeight w:val="18"/>
        </w:trPr>
        <w:tc>
          <w:tcPr>
            <w:tcW w:w="1151" w:type="pct"/>
            <w:tcMar>
              <w:top w:w="85" w:type="dxa"/>
              <w:left w:w="85" w:type="dxa"/>
              <w:bottom w:w="85" w:type="dxa"/>
              <w:right w:w="85" w:type="dxa"/>
            </w:tcMar>
          </w:tcPr>
          <w:p w14:paraId="1390D50A" w14:textId="77777777" w:rsidR="00EF71BC" w:rsidRPr="00027650" w:rsidRDefault="00EF71BC" w:rsidP="00EF71BC">
            <w:pPr>
              <w:pStyle w:val="NTUtabletextBold"/>
            </w:pPr>
            <w:r w:rsidRPr="00027650">
              <w:t>Freeboard</w:t>
            </w:r>
          </w:p>
          <w:p w14:paraId="36DAE650" w14:textId="77777777" w:rsidR="00EF71BC" w:rsidRPr="00515FC7" w:rsidRDefault="00EF71BC" w:rsidP="00EF71BC">
            <w:pPr>
              <w:pStyle w:val="NTUtabletextBold"/>
            </w:pPr>
          </w:p>
        </w:tc>
        <w:tc>
          <w:tcPr>
            <w:tcW w:w="3849" w:type="pct"/>
            <w:gridSpan w:val="2"/>
          </w:tcPr>
          <w:p w14:paraId="06C2608F" w14:textId="62DE4FA7" w:rsidR="00EF71BC" w:rsidRPr="00515FC7" w:rsidRDefault="00EF71BC" w:rsidP="00EF71BC">
            <w:pPr>
              <w:pStyle w:val="NTUtabletext"/>
            </w:pPr>
            <w:r w:rsidRPr="00027650">
              <w:t>Additional clearance above estimated flood/inundation level to allow for uncertainties in flood/inundation level estimation, wave action and localised water level variations.</w:t>
            </w:r>
          </w:p>
        </w:tc>
      </w:tr>
      <w:tr w:rsidR="00EF71BC" w:rsidRPr="006627F4" w14:paraId="3630D3D0" w14:textId="77777777" w:rsidTr="00114B22">
        <w:trPr>
          <w:cantSplit/>
          <w:trHeight w:val="18"/>
        </w:trPr>
        <w:tc>
          <w:tcPr>
            <w:tcW w:w="1151" w:type="pct"/>
            <w:tcMar>
              <w:top w:w="85" w:type="dxa"/>
              <w:left w:w="85" w:type="dxa"/>
              <w:bottom w:w="85" w:type="dxa"/>
              <w:right w:w="85" w:type="dxa"/>
            </w:tcMar>
          </w:tcPr>
          <w:p w14:paraId="42712D30" w14:textId="77777777" w:rsidR="00EF71BC" w:rsidRPr="009253DE" w:rsidRDefault="00EF71BC" w:rsidP="00EF71BC">
            <w:pPr>
              <w:pStyle w:val="NTUtabletextBold"/>
            </w:pPr>
            <w:r w:rsidRPr="00632AE6">
              <w:t>Greenfield</w:t>
            </w:r>
          </w:p>
        </w:tc>
        <w:tc>
          <w:tcPr>
            <w:tcW w:w="3849" w:type="pct"/>
            <w:gridSpan w:val="2"/>
          </w:tcPr>
          <w:p w14:paraId="0ADF5E49" w14:textId="77777777" w:rsidR="00EF71BC" w:rsidRPr="006627F4" w:rsidRDefault="00EF71BC" w:rsidP="00EF71BC">
            <w:pPr>
              <w:pStyle w:val="NTUtabletext"/>
            </w:pPr>
            <w:r>
              <w:t>A land area that has no prior infrastructure development and is not contaminated.</w:t>
            </w:r>
          </w:p>
        </w:tc>
      </w:tr>
      <w:tr w:rsidR="00EF71BC" w:rsidRPr="006627F4" w14:paraId="2B00A423" w14:textId="77777777" w:rsidTr="00114B22">
        <w:trPr>
          <w:cantSplit/>
          <w:trHeight w:val="18"/>
        </w:trPr>
        <w:tc>
          <w:tcPr>
            <w:tcW w:w="1151" w:type="pct"/>
            <w:tcMar>
              <w:top w:w="85" w:type="dxa"/>
              <w:left w:w="85" w:type="dxa"/>
              <w:bottom w:w="85" w:type="dxa"/>
              <w:right w:w="85" w:type="dxa"/>
            </w:tcMar>
          </w:tcPr>
          <w:p w14:paraId="3825E807" w14:textId="684ABD73" w:rsidR="00EF71BC" w:rsidRPr="00632AE6" w:rsidRDefault="00EF71BC" w:rsidP="00EF71BC">
            <w:pPr>
              <w:pStyle w:val="NTUtabletextBold"/>
            </w:pPr>
            <w:r w:rsidRPr="00FA17D3">
              <w:t>HN-HO-72</w:t>
            </w:r>
          </w:p>
        </w:tc>
        <w:tc>
          <w:tcPr>
            <w:tcW w:w="3849" w:type="pct"/>
            <w:gridSpan w:val="2"/>
          </w:tcPr>
          <w:p w14:paraId="21433979" w14:textId="271BBD90" w:rsidR="00EF71BC" w:rsidRDefault="00EF71BC" w:rsidP="00EF71BC">
            <w:pPr>
              <w:pStyle w:val="NTUtabletext"/>
            </w:pPr>
            <w:r w:rsidRPr="00027650">
              <w:t xml:space="preserve">Loading requirement as per NZTA Bridge Manual: </w:t>
            </w:r>
            <w:hyperlink r:id="rId18">
              <w:r w:rsidRPr="00027650">
                <w:rPr>
                  <w:color w:val="0070C0"/>
                </w:rPr>
                <w:t>http://www.nzta.govt.nz/resources/bridge-</w:t>
              </w:r>
            </w:hyperlink>
            <w:r w:rsidRPr="00027650">
              <w:rPr>
                <w:color w:val="0070C0"/>
              </w:rPr>
              <w:t xml:space="preserve"> </w:t>
            </w:r>
            <w:hyperlink r:id="rId19">
              <w:r w:rsidRPr="00027650">
                <w:rPr>
                  <w:color w:val="0070C0"/>
                </w:rPr>
                <w:t>manual/bridge-manual/</w:t>
              </w:r>
            </w:hyperlink>
          </w:p>
        </w:tc>
      </w:tr>
      <w:tr w:rsidR="00EF71BC" w:rsidRPr="006627F4" w14:paraId="242A7025" w14:textId="77777777" w:rsidTr="00114B22">
        <w:trPr>
          <w:cantSplit/>
          <w:trHeight w:val="18"/>
        </w:trPr>
        <w:tc>
          <w:tcPr>
            <w:tcW w:w="1151" w:type="pct"/>
            <w:tcMar>
              <w:top w:w="85" w:type="dxa"/>
              <w:left w:w="85" w:type="dxa"/>
              <w:bottom w:w="85" w:type="dxa"/>
              <w:right w:w="85" w:type="dxa"/>
            </w:tcMar>
          </w:tcPr>
          <w:p w14:paraId="0A3A9C5F" w14:textId="77777777" w:rsidR="00EF71BC" w:rsidRPr="009253DE" w:rsidRDefault="00EF71BC" w:rsidP="00EF71BC">
            <w:pPr>
              <w:pStyle w:val="NTUtabletextBold"/>
            </w:pPr>
            <w:r w:rsidRPr="00632AE6">
              <w:lastRenderedPageBreak/>
              <w:t>Infill</w:t>
            </w:r>
          </w:p>
        </w:tc>
        <w:tc>
          <w:tcPr>
            <w:tcW w:w="3849" w:type="pct"/>
            <w:gridSpan w:val="2"/>
          </w:tcPr>
          <w:p w14:paraId="058D98C5" w14:textId="77777777" w:rsidR="00EF71BC" w:rsidRPr="006627F4" w:rsidRDefault="00EF71BC" w:rsidP="00EF71BC">
            <w:pPr>
              <w:pStyle w:val="NTUtabletext"/>
            </w:pPr>
            <w:r w:rsidRPr="00632AE6">
              <w:t>Development within a previously developed area.</w:t>
            </w:r>
          </w:p>
        </w:tc>
      </w:tr>
      <w:tr w:rsidR="00EF71BC" w:rsidRPr="006627F4" w14:paraId="4308E5EC" w14:textId="77777777" w:rsidTr="00114B22">
        <w:trPr>
          <w:cantSplit/>
          <w:trHeight w:val="18"/>
        </w:trPr>
        <w:tc>
          <w:tcPr>
            <w:tcW w:w="1151" w:type="pct"/>
            <w:tcMar>
              <w:top w:w="85" w:type="dxa"/>
              <w:left w:w="85" w:type="dxa"/>
              <w:bottom w:w="85" w:type="dxa"/>
              <w:right w:w="85" w:type="dxa"/>
            </w:tcMar>
          </w:tcPr>
          <w:p w14:paraId="70AA8768" w14:textId="2F56DE2D" w:rsidR="00EF71BC" w:rsidRPr="00632AE6" w:rsidRDefault="00EF71BC" w:rsidP="00EF71BC">
            <w:pPr>
              <w:pStyle w:val="NTUtabletextBold"/>
            </w:pPr>
            <w:r w:rsidRPr="00027650">
              <w:t>Invert</w:t>
            </w:r>
          </w:p>
        </w:tc>
        <w:tc>
          <w:tcPr>
            <w:tcW w:w="3849" w:type="pct"/>
            <w:gridSpan w:val="2"/>
          </w:tcPr>
          <w:p w14:paraId="591984CF" w14:textId="00DE24C6" w:rsidR="00EF71BC" w:rsidRPr="00632AE6" w:rsidRDefault="00EF71BC" w:rsidP="00EF71BC">
            <w:pPr>
              <w:pStyle w:val="NTUtabletext"/>
            </w:pPr>
            <w:r w:rsidRPr="00027650">
              <w:t>The invert level is the base interior level of a pipe, or culvert, at a given location.</w:t>
            </w:r>
          </w:p>
        </w:tc>
      </w:tr>
      <w:tr w:rsidR="00EF71BC" w:rsidRPr="006627F4" w14:paraId="3BCF4662" w14:textId="77777777" w:rsidTr="00114B22">
        <w:trPr>
          <w:cantSplit/>
          <w:trHeight w:val="18"/>
        </w:trPr>
        <w:tc>
          <w:tcPr>
            <w:tcW w:w="1151" w:type="pct"/>
            <w:tcMar>
              <w:top w:w="85" w:type="dxa"/>
              <w:left w:w="85" w:type="dxa"/>
              <w:bottom w:w="85" w:type="dxa"/>
              <w:right w:w="85" w:type="dxa"/>
            </w:tcMar>
          </w:tcPr>
          <w:p w14:paraId="0B1D0639" w14:textId="77777777" w:rsidR="00EF71BC" w:rsidRPr="009253DE" w:rsidRDefault="00EF71BC" w:rsidP="00EF71BC">
            <w:pPr>
              <w:pStyle w:val="NTUtabletextBold"/>
            </w:pPr>
            <w:r w:rsidRPr="00632AE6">
              <w:t>Lateral</w:t>
            </w:r>
          </w:p>
        </w:tc>
        <w:tc>
          <w:tcPr>
            <w:tcW w:w="3849" w:type="pct"/>
            <w:gridSpan w:val="2"/>
          </w:tcPr>
          <w:p w14:paraId="738476D2" w14:textId="77777777" w:rsidR="00EF71BC" w:rsidRPr="006627F4" w:rsidRDefault="00EF71BC" w:rsidP="00EF71BC">
            <w:pPr>
              <w:pStyle w:val="NTUtabletext"/>
            </w:pPr>
            <w:r w:rsidRPr="00C4240A">
              <w:t>The domestic wastewater drain connecting to the wastewater main.</w:t>
            </w:r>
          </w:p>
        </w:tc>
      </w:tr>
      <w:tr w:rsidR="00EF71BC" w:rsidRPr="006627F4" w14:paraId="30325FF9" w14:textId="77777777" w:rsidTr="00114B22">
        <w:trPr>
          <w:cantSplit/>
          <w:trHeight w:val="18"/>
        </w:trPr>
        <w:tc>
          <w:tcPr>
            <w:tcW w:w="1151" w:type="pct"/>
            <w:tcMar>
              <w:top w:w="85" w:type="dxa"/>
              <w:left w:w="85" w:type="dxa"/>
              <w:bottom w:w="85" w:type="dxa"/>
              <w:right w:w="85" w:type="dxa"/>
            </w:tcMar>
          </w:tcPr>
          <w:p w14:paraId="620CACE6" w14:textId="25CD2797" w:rsidR="00EF71BC" w:rsidRPr="00632AE6" w:rsidRDefault="00EF71BC" w:rsidP="00EF71BC">
            <w:pPr>
              <w:pStyle w:val="NTUtabletextBold"/>
            </w:pPr>
            <w:r w:rsidRPr="00027650">
              <w:t>LGA</w:t>
            </w:r>
          </w:p>
        </w:tc>
        <w:tc>
          <w:tcPr>
            <w:tcW w:w="3849" w:type="pct"/>
            <w:gridSpan w:val="2"/>
          </w:tcPr>
          <w:p w14:paraId="1B51E7B2" w14:textId="5132C8BB" w:rsidR="00EF71BC" w:rsidRPr="00C4240A" w:rsidRDefault="00EF71BC" w:rsidP="00EF71BC">
            <w:pPr>
              <w:pStyle w:val="NTUtabletext"/>
            </w:pPr>
            <w:r w:rsidRPr="00027650">
              <w:t>Local Government Acts 1974 and 2002.</w:t>
            </w:r>
          </w:p>
        </w:tc>
      </w:tr>
      <w:tr w:rsidR="00EF71BC" w:rsidRPr="006627F4" w14:paraId="322BB32E"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45099E77" w14:textId="77777777" w:rsidR="00EF71BC" w:rsidRPr="009253DE" w:rsidRDefault="00EF71BC" w:rsidP="00EF71BC">
            <w:pPr>
              <w:pStyle w:val="NTUtabletextBold"/>
            </w:pPr>
            <w:r w:rsidRPr="009253DE">
              <w:t>Local Network / Reticulation</w:t>
            </w:r>
          </w:p>
        </w:tc>
        <w:tc>
          <w:tcPr>
            <w:tcW w:w="3849" w:type="pct"/>
            <w:gridSpan w:val="2"/>
          </w:tcPr>
          <w:p w14:paraId="1D110CFB" w14:textId="77777777" w:rsidR="00EF71BC" w:rsidRPr="009253DE" w:rsidRDefault="00EF71BC" w:rsidP="00EF71BC">
            <w:pPr>
              <w:pStyle w:val="NTUtabletext"/>
            </w:pPr>
            <w:r w:rsidRPr="006627F4">
              <w:t>The reticulated distribution system from the transmission system to the point of supply to the customer (the water</w:t>
            </w:r>
            <w:r>
              <w:t xml:space="preserve"> </w:t>
            </w:r>
            <w:r w:rsidRPr="006627F4">
              <w:t>meter), less than 300mm in diameter</w:t>
            </w:r>
          </w:p>
        </w:tc>
      </w:tr>
      <w:tr w:rsidR="00EF71BC" w:rsidRPr="006627F4" w14:paraId="42122A43" w14:textId="77777777" w:rsidTr="00C16227">
        <w:trPr>
          <w:cantSplit/>
          <w:trHeight w:val="18"/>
        </w:trPr>
        <w:tc>
          <w:tcPr>
            <w:tcW w:w="1151" w:type="pct"/>
            <w:tcMar>
              <w:top w:w="85" w:type="dxa"/>
              <w:left w:w="85" w:type="dxa"/>
              <w:bottom w:w="85" w:type="dxa"/>
              <w:right w:w="85" w:type="dxa"/>
            </w:tcMar>
          </w:tcPr>
          <w:p w14:paraId="6A438860" w14:textId="77777777" w:rsidR="00EF71BC" w:rsidRPr="00515FC7" w:rsidRDefault="00EF71BC" w:rsidP="00EF71BC">
            <w:pPr>
              <w:pStyle w:val="NTUtabletextBold"/>
            </w:pPr>
            <w:r w:rsidRPr="00515FC7">
              <w:t xml:space="preserve">Low </w:t>
            </w:r>
            <w:r>
              <w:t>V</w:t>
            </w:r>
            <w:r w:rsidRPr="00515FC7">
              <w:t>oltage</w:t>
            </w:r>
          </w:p>
        </w:tc>
        <w:tc>
          <w:tcPr>
            <w:tcW w:w="3849" w:type="pct"/>
            <w:gridSpan w:val="2"/>
          </w:tcPr>
          <w:p w14:paraId="3BD3A949" w14:textId="77777777" w:rsidR="00EF71BC" w:rsidRPr="009130A8" w:rsidRDefault="00EF71BC" w:rsidP="00EF71BC">
            <w:pPr>
              <w:pStyle w:val="NTUtabletext"/>
            </w:pPr>
            <w:r w:rsidRPr="00515FC7">
              <w:t>The International Electrotechnical Commission (IEC) Standard IEC 61140:2016 defines Low voltage as 0 to 1000 V AC RMS or 0 to 1500 V DC</w:t>
            </w:r>
          </w:p>
        </w:tc>
      </w:tr>
      <w:tr w:rsidR="00EF71BC" w:rsidRPr="006627F4" w14:paraId="57FB8A7E" w14:textId="77777777" w:rsidTr="00C16227">
        <w:trPr>
          <w:cantSplit/>
          <w:trHeight w:val="18"/>
        </w:trPr>
        <w:tc>
          <w:tcPr>
            <w:tcW w:w="1151" w:type="pct"/>
            <w:tcMar>
              <w:top w:w="85" w:type="dxa"/>
              <w:left w:w="85" w:type="dxa"/>
              <w:bottom w:w="85" w:type="dxa"/>
              <w:right w:w="85" w:type="dxa"/>
            </w:tcMar>
          </w:tcPr>
          <w:p w14:paraId="2D85BB06" w14:textId="77777777" w:rsidR="00EF71BC" w:rsidRPr="00027650" w:rsidRDefault="00EF71BC" w:rsidP="00EF71BC">
            <w:pPr>
              <w:pStyle w:val="NTUtabletextBold"/>
            </w:pPr>
            <w:r w:rsidRPr="00027650">
              <w:t>Maximum Probable</w:t>
            </w:r>
          </w:p>
          <w:p w14:paraId="623854A1" w14:textId="5835D752" w:rsidR="00EF71BC" w:rsidRPr="00515FC7" w:rsidRDefault="00EF71BC" w:rsidP="00EF71BC">
            <w:pPr>
              <w:pStyle w:val="NTUtabletextBold"/>
            </w:pPr>
            <w:r w:rsidRPr="00027650">
              <w:t>Development (MPD</w:t>
            </w:r>
            <w:r>
              <w:t>)</w:t>
            </w:r>
          </w:p>
        </w:tc>
        <w:tc>
          <w:tcPr>
            <w:tcW w:w="3849" w:type="pct"/>
            <w:gridSpan w:val="2"/>
          </w:tcPr>
          <w:p w14:paraId="26139302" w14:textId="058FDE71" w:rsidR="00EF71BC" w:rsidRPr="00515FC7" w:rsidRDefault="00EF71BC" w:rsidP="00EF71BC">
            <w:pPr>
              <w:pStyle w:val="NTUtabletext"/>
            </w:pPr>
            <w:r w:rsidRPr="00027650">
              <w:t>Design case for consideration of future flows allowing for development within a catchment that takes into account the maximum impervious surface limits of the current zone or, if the land is zoned ‘future urban’ in the Unitary or District Plan, the probable level of development arising from zone changes.</w:t>
            </w:r>
          </w:p>
        </w:tc>
      </w:tr>
      <w:tr w:rsidR="00EF71BC" w:rsidRPr="006627F4" w14:paraId="1FD00EAE" w14:textId="77777777" w:rsidTr="00C16227">
        <w:trPr>
          <w:cantSplit/>
          <w:trHeight w:val="18"/>
        </w:trPr>
        <w:tc>
          <w:tcPr>
            <w:tcW w:w="1151" w:type="pct"/>
            <w:tcMar>
              <w:top w:w="85" w:type="dxa"/>
              <w:left w:w="85" w:type="dxa"/>
              <w:bottom w:w="85" w:type="dxa"/>
              <w:right w:w="85" w:type="dxa"/>
            </w:tcMar>
          </w:tcPr>
          <w:p w14:paraId="182F2E4A" w14:textId="3471E13B" w:rsidR="00EF71BC" w:rsidRPr="00027650" w:rsidRDefault="00EF71BC" w:rsidP="00EF71BC">
            <w:pPr>
              <w:pStyle w:val="NTUtabletextBold"/>
            </w:pPr>
            <w:r w:rsidRPr="00027650">
              <w:t>Minor pipelines</w:t>
            </w:r>
          </w:p>
        </w:tc>
        <w:tc>
          <w:tcPr>
            <w:tcW w:w="3849" w:type="pct"/>
            <w:gridSpan w:val="2"/>
          </w:tcPr>
          <w:p w14:paraId="650F878D" w14:textId="06FB0C6D" w:rsidR="00EF71BC" w:rsidRPr="00027650" w:rsidRDefault="00EF71BC" w:rsidP="00EF71BC">
            <w:pPr>
              <w:pStyle w:val="NTUtabletext"/>
            </w:pPr>
            <w:r w:rsidRPr="00027650">
              <w:t>Pipes connecting to a manhole that are not on the primary pipe alignment.</w:t>
            </w:r>
          </w:p>
        </w:tc>
      </w:tr>
      <w:tr w:rsidR="00EF71BC" w:rsidRPr="006627F4" w14:paraId="6100F5B6" w14:textId="77777777" w:rsidTr="00C16227">
        <w:trPr>
          <w:cantSplit/>
          <w:trHeight w:val="18"/>
        </w:trPr>
        <w:tc>
          <w:tcPr>
            <w:tcW w:w="1151" w:type="pct"/>
            <w:tcMar>
              <w:top w:w="85" w:type="dxa"/>
              <w:left w:w="85" w:type="dxa"/>
              <w:bottom w:w="85" w:type="dxa"/>
              <w:right w:w="85" w:type="dxa"/>
            </w:tcMar>
          </w:tcPr>
          <w:p w14:paraId="2F16A1A7" w14:textId="44284F90" w:rsidR="00EF71BC" w:rsidRPr="00515FC7" w:rsidRDefault="00EF71BC" w:rsidP="00EF71BC">
            <w:pPr>
              <w:pStyle w:val="NTUtabletextBold"/>
            </w:pPr>
            <w:r w:rsidRPr="00027650">
              <w:t>Network Discharge Consent (NDC)</w:t>
            </w:r>
          </w:p>
        </w:tc>
        <w:tc>
          <w:tcPr>
            <w:tcW w:w="3849" w:type="pct"/>
            <w:gridSpan w:val="2"/>
          </w:tcPr>
          <w:p w14:paraId="12444B14" w14:textId="27FD22FF" w:rsidR="00EF71BC" w:rsidRPr="00515FC7" w:rsidRDefault="00EF71BC" w:rsidP="00EF71BC">
            <w:pPr>
              <w:pStyle w:val="NTUtabletext"/>
            </w:pPr>
            <w:r w:rsidRPr="00027650">
              <w:t>A consent that authorises the diversion and discharge of stormwater, including associated contaminants, from existing and potential future public stormwater networks within urban areas and rural and coastal settlements.</w:t>
            </w:r>
          </w:p>
        </w:tc>
      </w:tr>
      <w:tr w:rsidR="00EF71BC" w:rsidRPr="006627F4" w14:paraId="135865BC" w14:textId="77777777" w:rsidTr="00C16227">
        <w:trPr>
          <w:cantSplit/>
          <w:trHeight w:val="18"/>
        </w:trPr>
        <w:tc>
          <w:tcPr>
            <w:tcW w:w="1151" w:type="pct"/>
            <w:tcMar>
              <w:top w:w="85" w:type="dxa"/>
              <w:left w:w="85" w:type="dxa"/>
              <w:bottom w:w="85" w:type="dxa"/>
              <w:right w:w="85" w:type="dxa"/>
            </w:tcMar>
          </w:tcPr>
          <w:p w14:paraId="7924EB17" w14:textId="5D512FA2" w:rsidR="00EF71BC" w:rsidRPr="00515FC7" w:rsidRDefault="00EF71BC" w:rsidP="00EF71BC">
            <w:pPr>
              <w:pStyle w:val="NTUtabletextBold"/>
            </w:pPr>
            <w:r w:rsidRPr="00027650">
              <w:t>Non-access chamber</w:t>
            </w:r>
          </w:p>
        </w:tc>
        <w:tc>
          <w:tcPr>
            <w:tcW w:w="3849" w:type="pct"/>
            <w:gridSpan w:val="2"/>
          </w:tcPr>
          <w:p w14:paraId="185BC319" w14:textId="19618D43" w:rsidR="00EF71BC" w:rsidRPr="00515FC7" w:rsidRDefault="00EF71BC" w:rsidP="00EF71BC">
            <w:pPr>
              <w:pStyle w:val="NTUtabletext"/>
            </w:pPr>
            <w:r w:rsidRPr="00027650">
              <w:t>An inspection chamber which does not allow a person to enter (</w:t>
            </w:r>
            <w:r w:rsidRPr="0029209B">
              <w:t xml:space="preserve">refer to </w:t>
            </w:r>
            <w:r w:rsidRPr="008C07FA">
              <w:t>Appendix B, Drawing</w:t>
            </w:r>
            <w:r>
              <w:t xml:space="preserve"> </w:t>
            </w:r>
            <w:r w:rsidRPr="008C07FA">
              <w:t>SW-15 for a typical detail).</w:t>
            </w:r>
          </w:p>
        </w:tc>
      </w:tr>
      <w:tr w:rsidR="00EF71BC" w:rsidRPr="006627F4" w14:paraId="51769146" w14:textId="77777777" w:rsidTr="00C16227">
        <w:trPr>
          <w:cantSplit/>
          <w:trHeight w:val="18"/>
        </w:trPr>
        <w:tc>
          <w:tcPr>
            <w:tcW w:w="1151" w:type="pct"/>
            <w:tcMar>
              <w:top w:w="85" w:type="dxa"/>
              <w:left w:w="85" w:type="dxa"/>
              <w:bottom w:w="85" w:type="dxa"/>
              <w:right w:w="85" w:type="dxa"/>
            </w:tcMar>
          </w:tcPr>
          <w:p w14:paraId="593641AD" w14:textId="73CB23A9" w:rsidR="00EF71BC" w:rsidRPr="00515FC7" w:rsidRDefault="00EF71BC" w:rsidP="00EF71BC">
            <w:pPr>
              <w:pStyle w:val="NTUtabletextBold"/>
            </w:pPr>
            <w:r w:rsidRPr="00027650">
              <w:t>Overland flow path</w:t>
            </w:r>
          </w:p>
        </w:tc>
        <w:tc>
          <w:tcPr>
            <w:tcW w:w="3849" w:type="pct"/>
            <w:gridSpan w:val="2"/>
          </w:tcPr>
          <w:p w14:paraId="11825EAB" w14:textId="6F9C3DBA" w:rsidR="00EF71BC" w:rsidRPr="00515FC7" w:rsidRDefault="00EF71BC" w:rsidP="00EF71BC">
            <w:pPr>
              <w:pStyle w:val="NTUtabletext"/>
            </w:pPr>
            <w:r w:rsidRPr="00027650">
              <w:t>The route taken by stormwater when flowing over land.</w:t>
            </w:r>
          </w:p>
        </w:tc>
      </w:tr>
      <w:tr w:rsidR="00EF71BC" w:rsidRPr="006627F4" w14:paraId="1B73342F" w14:textId="77777777" w:rsidTr="00C16227">
        <w:trPr>
          <w:cantSplit/>
          <w:trHeight w:val="18"/>
        </w:trPr>
        <w:tc>
          <w:tcPr>
            <w:tcW w:w="1151" w:type="pct"/>
            <w:tcMar>
              <w:top w:w="85" w:type="dxa"/>
              <w:left w:w="85" w:type="dxa"/>
              <w:bottom w:w="85" w:type="dxa"/>
              <w:right w:w="85" w:type="dxa"/>
            </w:tcMar>
          </w:tcPr>
          <w:p w14:paraId="0FEB12C0" w14:textId="48791474" w:rsidR="00EF71BC" w:rsidRPr="00515FC7" w:rsidRDefault="00EF71BC" w:rsidP="00EF71BC">
            <w:pPr>
              <w:pStyle w:val="NTUtabletextBold"/>
            </w:pPr>
            <w:r w:rsidRPr="00027650">
              <w:t>PCBU</w:t>
            </w:r>
          </w:p>
        </w:tc>
        <w:tc>
          <w:tcPr>
            <w:tcW w:w="3849" w:type="pct"/>
            <w:gridSpan w:val="2"/>
          </w:tcPr>
          <w:p w14:paraId="483B0673" w14:textId="4ADC7F96" w:rsidR="00EF71BC" w:rsidRPr="00515FC7" w:rsidRDefault="00EF71BC" w:rsidP="00EF71BC">
            <w:pPr>
              <w:pStyle w:val="NTUtabletext"/>
            </w:pPr>
            <w:r w:rsidRPr="00027650">
              <w:t>Person conducting a business or undertaking</w:t>
            </w:r>
          </w:p>
        </w:tc>
      </w:tr>
      <w:tr w:rsidR="00EF71BC" w:rsidRPr="006627F4" w14:paraId="21A44DA4" w14:textId="77777777" w:rsidTr="00C16227">
        <w:trPr>
          <w:cantSplit/>
          <w:trHeight w:val="18"/>
        </w:trPr>
        <w:tc>
          <w:tcPr>
            <w:tcW w:w="1151" w:type="pct"/>
            <w:tcMar>
              <w:top w:w="85" w:type="dxa"/>
              <w:left w:w="85" w:type="dxa"/>
              <w:bottom w:w="85" w:type="dxa"/>
              <w:right w:w="85" w:type="dxa"/>
            </w:tcMar>
          </w:tcPr>
          <w:p w14:paraId="2FC193FE" w14:textId="2A36A82C" w:rsidR="00EF71BC" w:rsidRPr="00515FC7" w:rsidRDefault="00EF71BC" w:rsidP="00EF71BC">
            <w:pPr>
              <w:pStyle w:val="NTUtabletextBold"/>
            </w:pPr>
            <w:r w:rsidRPr="00027650">
              <w:t>Peak flow</w:t>
            </w:r>
          </w:p>
        </w:tc>
        <w:tc>
          <w:tcPr>
            <w:tcW w:w="3849" w:type="pct"/>
            <w:gridSpan w:val="2"/>
          </w:tcPr>
          <w:p w14:paraId="305756A9" w14:textId="240248EC" w:rsidR="00EF71BC" w:rsidRPr="00515FC7" w:rsidRDefault="00EF71BC" w:rsidP="00EF71BC">
            <w:pPr>
              <w:pStyle w:val="NTUtabletext"/>
            </w:pPr>
            <w:r w:rsidRPr="00027650">
              <w:t>The maximum flow reached in a stormwater system during any storm (or at any time in other reticulation).</w:t>
            </w:r>
          </w:p>
        </w:tc>
      </w:tr>
      <w:tr w:rsidR="00EF71BC" w:rsidRPr="006627F4" w14:paraId="761015DC"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37832D48" w14:textId="77777777" w:rsidR="00EF71BC" w:rsidRPr="009253DE" w:rsidRDefault="00EF71BC" w:rsidP="00EF71BC">
            <w:pPr>
              <w:pStyle w:val="NTUtabletextBold"/>
            </w:pPr>
            <w:r w:rsidRPr="009253DE">
              <w:t>Peet</w:t>
            </w:r>
            <w:r w:rsidRPr="009253DE">
              <w:rPr>
                <w:spacing w:val="-2"/>
              </w:rPr>
              <w:t xml:space="preserve"> </w:t>
            </w:r>
            <w:r w:rsidRPr="009253DE">
              <w:t>valve</w:t>
            </w:r>
          </w:p>
        </w:tc>
        <w:tc>
          <w:tcPr>
            <w:tcW w:w="3849" w:type="pct"/>
            <w:gridSpan w:val="2"/>
          </w:tcPr>
          <w:p w14:paraId="3E6CFC19" w14:textId="77777777" w:rsidR="00EF71BC" w:rsidRPr="006627F4" w:rsidRDefault="00EF71BC" w:rsidP="00EF71BC">
            <w:pPr>
              <w:pStyle w:val="NTUtabletext"/>
            </w:pPr>
            <w:r w:rsidRPr="006627F4">
              <w:t>A gate valve that is installed on a rider</w:t>
            </w:r>
            <w:r w:rsidRPr="006627F4">
              <w:rPr>
                <w:spacing w:val="-1"/>
              </w:rPr>
              <w:t xml:space="preserve"> </w:t>
            </w:r>
            <w:r w:rsidRPr="006627F4">
              <w:t>main</w:t>
            </w:r>
          </w:p>
        </w:tc>
      </w:tr>
      <w:tr w:rsidR="00EF71BC" w:rsidRPr="006627F4" w14:paraId="28F23B53"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62237D66" w14:textId="77777777" w:rsidR="00EF71BC" w:rsidRPr="009253DE" w:rsidRDefault="00EF71BC" w:rsidP="00EF71BC">
            <w:pPr>
              <w:pStyle w:val="NTUtabletextBold"/>
            </w:pPr>
            <w:r w:rsidRPr="009253DE">
              <w:t>Point</w:t>
            </w:r>
            <w:r w:rsidRPr="009253DE">
              <w:rPr>
                <w:spacing w:val="-2"/>
              </w:rPr>
              <w:t xml:space="preserve"> </w:t>
            </w:r>
            <w:r w:rsidRPr="009253DE">
              <w:t>of</w:t>
            </w:r>
            <w:r w:rsidRPr="009253DE">
              <w:rPr>
                <w:spacing w:val="-2"/>
              </w:rPr>
              <w:t xml:space="preserve"> </w:t>
            </w:r>
            <w:r w:rsidRPr="009253DE">
              <w:t>supply</w:t>
            </w:r>
          </w:p>
        </w:tc>
        <w:tc>
          <w:tcPr>
            <w:tcW w:w="3849" w:type="pct"/>
            <w:gridSpan w:val="2"/>
          </w:tcPr>
          <w:p w14:paraId="068EA23A" w14:textId="77777777" w:rsidR="00EF71BC" w:rsidRPr="006627F4" w:rsidRDefault="00EF71BC" w:rsidP="00EF71BC">
            <w:pPr>
              <w:pStyle w:val="NTUtabletext"/>
            </w:pPr>
            <w:r w:rsidRPr="006627F4">
              <w:t>The ‘point of supply’ is the point where Watercare’s network connects with a private network. At this point, the responsibility for ownership and maintenance of assets and equipment transfers from Watercare to the</w:t>
            </w:r>
            <w:r w:rsidRPr="006627F4">
              <w:rPr>
                <w:spacing w:val="-4"/>
              </w:rPr>
              <w:t xml:space="preserve"> </w:t>
            </w:r>
            <w:r w:rsidRPr="006627F4">
              <w:t>customer.</w:t>
            </w:r>
          </w:p>
        </w:tc>
      </w:tr>
      <w:tr w:rsidR="00EF71BC" w:rsidRPr="006627F4" w14:paraId="45E8BE04" w14:textId="77777777" w:rsidTr="009472BE">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628D94F9" w14:textId="72C5ACBF" w:rsidR="00EF71BC" w:rsidRPr="009253DE" w:rsidRDefault="00EF71BC" w:rsidP="00EF71BC">
            <w:pPr>
              <w:pStyle w:val="NTUtabletextBold"/>
            </w:pPr>
            <w:r w:rsidRPr="00027650">
              <w:t>Primary</w:t>
            </w:r>
          </w:p>
        </w:tc>
        <w:tc>
          <w:tcPr>
            <w:tcW w:w="3849" w:type="pct"/>
            <w:gridSpan w:val="2"/>
          </w:tcPr>
          <w:p w14:paraId="6C990885" w14:textId="1290FFC9" w:rsidR="00EF71BC" w:rsidRPr="006627F4" w:rsidRDefault="00EF71BC" w:rsidP="00EF71BC">
            <w:pPr>
              <w:pStyle w:val="NTUtabletext"/>
            </w:pPr>
            <w:r w:rsidRPr="00027650">
              <w:t>The pipes, streams, open watercourses, and other elements of built and natural drainage infrastructure that carry the flow of stormwater within the catchment during non-extreme storm</w:t>
            </w:r>
          </w:p>
        </w:tc>
      </w:tr>
      <w:tr w:rsidR="00EF71BC" w:rsidRPr="006627F4" w14:paraId="672AFD6C"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1FC545DF" w14:textId="77777777" w:rsidR="00EF71BC" w:rsidRPr="009253DE" w:rsidRDefault="00EF71BC" w:rsidP="00EF71BC">
            <w:pPr>
              <w:pStyle w:val="NTUtabletextBold"/>
            </w:pPr>
            <w:r w:rsidRPr="009253DE">
              <w:t>Principal</w:t>
            </w:r>
            <w:r w:rsidRPr="009253DE">
              <w:rPr>
                <w:spacing w:val="-3"/>
              </w:rPr>
              <w:t xml:space="preserve"> </w:t>
            </w:r>
            <w:r w:rsidRPr="009253DE">
              <w:t>main</w:t>
            </w:r>
          </w:p>
        </w:tc>
        <w:tc>
          <w:tcPr>
            <w:tcW w:w="3849" w:type="pct"/>
            <w:gridSpan w:val="2"/>
          </w:tcPr>
          <w:p w14:paraId="6E164391" w14:textId="77777777" w:rsidR="00EF71BC" w:rsidRPr="006627F4" w:rsidRDefault="00EF71BC" w:rsidP="00EF71BC">
            <w:pPr>
              <w:pStyle w:val="NTUtabletext"/>
            </w:pPr>
            <w:r w:rsidRPr="006627F4">
              <w:t>A watermain that is DN100 or greater. Fire hydrants may be installed on a principal</w:t>
            </w:r>
            <w:r w:rsidRPr="006627F4">
              <w:rPr>
                <w:spacing w:val="1"/>
              </w:rPr>
              <w:t xml:space="preserve"> </w:t>
            </w:r>
            <w:r w:rsidRPr="006627F4">
              <w:t>main.</w:t>
            </w:r>
          </w:p>
        </w:tc>
      </w:tr>
      <w:tr w:rsidR="00EF71BC" w:rsidRPr="006627F4" w14:paraId="1EB9CF56" w14:textId="77777777" w:rsidTr="00C82F2A">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2C3AC3BB" w14:textId="77777777" w:rsidR="00EF71BC" w:rsidRPr="009253DE" w:rsidRDefault="00EF71BC" w:rsidP="00EF71BC">
            <w:pPr>
              <w:pStyle w:val="NTUtabletextBold"/>
            </w:pPr>
            <w:r w:rsidRPr="009253DE">
              <w:t>Private</w:t>
            </w:r>
            <w:r w:rsidRPr="009253DE">
              <w:rPr>
                <w:spacing w:val="-4"/>
              </w:rPr>
              <w:t xml:space="preserve"> </w:t>
            </w:r>
            <w:r w:rsidRPr="009253DE">
              <w:t>connection</w:t>
            </w:r>
          </w:p>
        </w:tc>
        <w:tc>
          <w:tcPr>
            <w:tcW w:w="3849" w:type="pct"/>
            <w:gridSpan w:val="2"/>
          </w:tcPr>
          <w:p w14:paraId="657398CD" w14:textId="77777777" w:rsidR="00EF71BC" w:rsidRPr="006627F4" w:rsidRDefault="00EF71BC" w:rsidP="00EF71BC">
            <w:pPr>
              <w:pStyle w:val="NTUtabletext"/>
            </w:pPr>
            <w:r w:rsidRPr="006627F4">
              <w:t>Private connection is the pipe connection from the private property up to the Watercare</w:t>
            </w:r>
            <w:r w:rsidRPr="006627F4">
              <w:rPr>
                <w:spacing w:val="1"/>
              </w:rPr>
              <w:t xml:space="preserve"> </w:t>
            </w:r>
            <w:r w:rsidRPr="006627F4">
              <w:t>meter.</w:t>
            </w:r>
          </w:p>
        </w:tc>
      </w:tr>
      <w:tr w:rsidR="00EF71BC" w:rsidRPr="006627F4" w14:paraId="6689B67E"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65DE1E62" w14:textId="39EF3140" w:rsidR="00EF71BC" w:rsidRPr="009253DE" w:rsidRDefault="00EF71BC" w:rsidP="00EF71BC">
            <w:pPr>
              <w:pStyle w:val="NTUtabletextBold"/>
            </w:pPr>
            <w:r w:rsidRPr="00027650">
              <w:t>Private Stormwater Network</w:t>
            </w:r>
          </w:p>
        </w:tc>
        <w:tc>
          <w:tcPr>
            <w:tcW w:w="3849" w:type="pct"/>
            <w:gridSpan w:val="2"/>
          </w:tcPr>
          <w:p w14:paraId="15408061" w14:textId="68FC454E" w:rsidR="00EF71BC" w:rsidRPr="006627F4" w:rsidRDefault="00EF71BC" w:rsidP="00EF71BC">
            <w:pPr>
              <w:pStyle w:val="NTUtabletext"/>
            </w:pPr>
            <w:r w:rsidRPr="00027650">
              <w:t>Any component of the stormwater network that drains water from premises on private land to a receiving environment or up to the point of service connection with the public stormwater network and includes pipes, gutters, downpipes, catchpits, swales, subsoil drains, stormwater treatment devices, rainwater tanks and any stormwater management device or redundant stormwater system.</w:t>
            </w:r>
          </w:p>
        </w:tc>
      </w:tr>
      <w:tr w:rsidR="00EF71BC" w:rsidRPr="006627F4" w14:paraId="1333F76A"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28887985" w14:textId="77777777" w:rsidR="00EF71BC" w:rsidRPr="00027650" w:rsidRDefault="00EF71BC" w:rsidP="00EF71BC">
            <w:pPr>
              <w:pStyle w:val="NTUtabletextBold"/>
            </w:pPr>
            <w:r w:rsidRPr="00027650">
              <w:lastRenderedPageBreak/>
              <w:t>Public Stormwater</w:t>
            </w:r>
          </w:p>
          <w:p w14:paraId="26391034" w14:textId="56632858" w:rsidR="00EF71BC" w:rsidRPr="009253DE" w:rsidRDefault="00EF71BC" w:rsidP="00EF71BC">
            <w:pPr>
              <w:pStyle w:val="NTUtabletextBold"/>
            </w:pPr>
            <w:r w:rsidRPr="00027650">
              <w:t>Network</w:t>
            </w:r>
          </w:p>
        </w:tc>
        <w:tc>
          <w:tcPr>
            <w:tcW w:w="3849" w:type="pct"/>
            <w:gridSpan w:val="2"/>
          </w:tcPr>
          <w:p w14:paraId="14EB360C" w14:textId="77777777" w:rsidR="00EF71BC" w:rsidRPr="00DF6CA0" w:rsidRDefault="00EF71BC" w:rsidP="00EF71BC">
            <w:pPr>
              <w:pStyle w:val="NTUtabletext"/>
              <w:numPr>
                <w:ilvl w:val="0"/>
                <w:numId w:val="19"/>
              </w:numPr>
            </w:pPr>
            <w:r w:rsidRPr="00DF6CA0">
              <w:t>Any stormwater pipe, drain, land drainage work or treatment facility, vested in or under the control of the WSE</w:t>
            </w:r>
          </w:p>
          <w:p w14:paraId="1A27E84A" w14:textId="77777777" w:rsidR="00EF71BC" w:rsidRDefault="00EF71BC" w:rsidP="00EF71BC">
            <w:pPr>
              <w:pStyle w:val="NTUtabletext"/>
              <w:numPr>
                <w:ilvl w:val="0"/>
                <w:numId w:val="19"/>
              </w:numPr>
            </w:pPr>
            <w:r w:rsidRPr="00DF6CA0">
              <w:t>Any stormwater drain, drain, land drainage work or treatment facility declared by the WSE to be a public drain under Section 462 of the Local Government Act 1974</w:t>
            </w:r>
          </w:p>
          <w:p w14:paraId="762F649E" w14:textId="36634A58" w:rsidR="00EF71BC" w:rsidRPr="006627F4" w:rsidRDefault="00EF71BC" w:rsidP="00EF71BC">
            <w:pPr>
              <w:pStyle w:val="NTUtabletext"/>
              <w:numPr>
                <w:ilvl w:val="0"/>
                <w:numId w:val="19"/>
              </w:numPr>
            </w:pPr>
            <w:r w:rsidRPr="00BD45AD">
              <w:rPr>
                <w:rFonts w:hAnsi="Arial Narrow"/>
              </w:rPr>
              <w:t>The stormwater assets of other public entities such as Auckland Council</w:t>
            </w:r>
            <w:r w:rsidRPr="00BD45AD">
              <w:rPr>
                <w:rFonts w:hAnsi="Arial Narrow"/>
                <w:spacing w:val="-5"/>
              </w:rPr>
              <w:t xml:space="preserve"> </w:t>
            </w:r>
            <w:r w:rsidRPr="00BD45AD">
              <w:rPr>
                <w:rFonts w:hAnsi="Arial Narrow"/>
              </w:rPr>
              <w:t>Community</w:t>
            </w:r>
            <w:r w:rsidRPr="00BD45AD">
              <w:rPr>
                <w:rFonts w:hAnsi="Arial Narrow"/>
                <w:spacing w:val="-4"/>
              </w:rPr>
              <w:t xml:space="preserve"> </w:t>
            </w:r>
            <w:r w:rsidRPr="00BD45AD">
              <w:rPr>
                <w:rFonts w:hAnsi="Arial Narrow"/>
              </w:rPr>
              <w:t>Facilities</w:t>
            </w:r>
            <w:r w:rsidRPr="00BD45AD">
              <w:rPr>
                <w:rFonts w:hAnsi="Arial Narrow"/>
                <w:spacing w:val="-4"/>
              </w:rPr>
              <w:t xml:space="preserve"> </w:t>
            </w:r>
            <w:r w:rsidRPr="00BD45AD">
              <w:rPr>
                <w:rFonts w:hAnsi="Arial Narrow"/>
              </w:rPr>
              <w:t>and</w:t>
            </w:r>
            <w:r w:rsidRPr="00BD45AD">
              <w:rPr>
                <w:rFonts w:hAnsi="Arial Narrow"/>
                <w:spacing w:val="-1"/>
              </w:rPr>
              <w:t xml:space="preserve"> </w:t>
            </w:r>
            <w:r w:rsidRPr="00BD45AD">
              <w:rPr>
                <w:rFonts w:hAnsi="Arial Narrow"/>
              </w:rPr>
              <w:t>NZTA and local authority</w:t>
            </w:r>
            <w:r w:rsidRPr="00BD45AD">
              <w:rPr>
                <w:rFonts w:hAnsi="Arial Narrow"/>
                <w:spacing w:val="-4"/>
              </w:rPr>
              <w:t xml:space="preserve"> </w:t>
            </w:r>
            <w:r w:rsidRPr="00BD45AD">
              <w:rPr>
                <w:rFonts w:hAnsi="Arial Narrow"/>
              </w:rPr>
              <w:t>are</w:t>
            </w:r>
            <w:r w:rsidRPr="00BD45AD">
              <w:rPr>
                <w:rFonts w:hAnsi="Arial Narrow"/>
                <w:spacing w:val="-3"/>
              </w:rPr>
              <w:t xml:space="preserve"> </w:t>
            </w:r>
            <w:r w:rsidRPr="00BD45AD">
              <w:rPr>
                <w:rFonts w:hAnsi="Arial Narrow"/>
              </w:rPr>
              <w:t>not</w:t>
            </w:r>
            <w:r w:rsidRPr="00BD45AD">
              <w:rPr>
                <w:rFonts w:hAnsi="Arial Narrow"/>
                <w:spacing w:val="-4"/>
              </w:rPr>
              <w:t xml:space="preserve"> </w:t>
            </w:r>
            <w:r w:rsidRPr="00BD45AD">
              <w:rPr>
                <w:rFonts w:hAnsi="Arial Narrow"/>
              </w:rPr>
              <w:t>considered</w:t>
            </w:r>
            <w:r w:rsidRPr="00BD45AD">
              <w:rPr>
                <w:rFonts w:hAnsi="Arial Narrow"/>
                <w:spacing w:val="-3"/>
              </w:rPr>
              <w:t xml:space="preserve"> </w:t>
            </w:r>
            <w:r w:rsidRPr="00BD45AD">
              <w:rPr>
                <w:rFonts w:hAnsi="Arial Narrow"/>
              </w:rPr>
              <w:t>“</w:t>
            </w:r>
            <w:r w:rsidRPr="00BD45AD">
              <w:rPr>
                <w:rFonts w:hAnsi="Arial Narrow"/>
              </w:rPr>
              <w:t>public</w:t>
            </w:r>
            <w:r w:rsidRPr="00BD45AD">
              <w:rPr>
                <w:rFonts w:hAnsi="Arial Narrow"/>
              </w:rPr>
              <w:t>”</w:t>
            </w:r>
            <w:r w:rsidRPr="00BD45AD">
              <w:rPr>
                <w:rFonts w:hAnsi="Arial Narrow"/>
              </w:rPr>
              <w:t xml:space="preserve"> in the context of this document. They may be owned by a public entity but are not </w:t>
            </w:r>
            <w:r w:rsidRPr="00BD45AD">
              <w:rPr>
                <w:rFonts w:hAnsi="Arial Narrow"/>
              </w:rPr>
              <w:t>“</w:t>
            </w:r>
            <w:r w:rsidRPr="00BD45AD">
              <w:rPr>
                <w:rFonts w:hAnsi="Arial Narrow"/>
              </w:rPr>
              <w:t>public</w:t>
            </w:r>
            <w:r w:rsidRPr="00BD45AD">
              <w:rPr>
                <w:rFonts w:hAnsi="Arial Narrow"/>
              </w:rPr>
              <w:t>”</w:t>
            </w:r>
            <w:r w:rsidRPr="00BD45AD">
              <w:rPr>
                <w:rFonts w:hAnsi="Arial Narrow"/>
              </w:rPr>
              <w:t xml:space="preserve"> assets that can be connected</w:t>
            </w:r>
            <w:r w:rsidRPr="00BD45AD">
              <w:rPr>
                <w:rFonts w:hAnsi="Arial Narrow"/>
                <w:spacing w:val="-3"/>
              </w:rPr>
              <w:t xml:space="preserve"> </w:t>
            </w:r>
            <w:r w:rsidRPr="00BD45AD">
              <w:rPr>
                <w:rFonts w:hAnsi="Arial Narrow"/>
              </w:rPr>
              <w:t>to.</w:t>
            </w:r>
          </w:p>
        </w:tc>
      </w:tr>
      <w:tr w:rsidR="00EF71BC" w:rsidRPr="006627F4" w14:paraId="0E7708B0" w14:textId="77777777" w:rsidTr="00C16227">
        <w:trPr>
          <w:cantSplit/>
          <w:trHeight w:val="18"/>
        </w:trPr>
        <w:tc>
          <w:tcPr>
            <w:tcW w:w="1151" w:type="pct"/>
            <w:tcMar>
              <w:top w:w="85" w:type="dxa"/>
              <w:left w:w="85" w:type="dxa"/>
              <w:bottom w:w="85" w:type="dxa"/>
              <w:right w:w="85" w:type="dxa"/>
            </w:tcMar>
          </w:tcPr>
          <w:p w14:paraId="12586B20" w14:textId="77777777" w:rsidR="00EF71BC" w:rsidRPr="00515FC7" w:rsidRDefault="00EF71BC" w:rsidP="00EF71BC">
            <w:pPr>
              <w:pStyle w:val="NTUtabletextBold"/>
            </w:pPr>
            <w:r w:rsidRPr="00515FC7">
              <w:t>Remote Telemetry Unit</w:t>
            </w:r>
          </w:p>
        </w:tc>
        <w:tc>
          <w:tcPr>
            <w:tcW w:w="3849" w:type="pct"/>
            <w:gridSpan w:val="2"/>
          </w:tcPr>
          <w:p w14:paraId="651269F0" w14:textId="77777777" w:rsidR="00EF71BC" w:rsidRPr="00CD6DA2" w:rsidRDefault="00EF71BC" w:rsidP="00EF71BC">
            <w:pPr>
              <w:pStyle w:val="NTUtabletext"/>
              <w:rPr>
                <w:b/>
                <w:bCs/>
              </w:rPr>
            </w:pPr>
            <w:r w:rsidRPr="00515FC7">
              <w:t>An </w:t>
            </w:r>
            <w:hyperlink r:id="rId20" w:history="1">
              <w:r w:rsidRPr="00515FC7">
                <w:t>RTU</w:t>
              </w:r>
            </w:hyperlink>
            <w:r w:rsidRPr="00515FC7">
              <w:t> is a electronic device that you install at a remote location to monitor and control the other equipment you have there (plus relevant environmental values like temperature, humidity, and water leakage that have a direct effect on electronic equipment</w:t>
            </w:r>
          </w:p>
        </w:tc>
      </w:tr>
      <w:tr w:rsidR="00EF71BC" w:rsidRPr="006627F4" w14:paraId="209AA993"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7748F9DD" w14:textId="77777777" w:rsidR="00EF71BC" w:rsidRPr="009253DE" w:rsidRDefault="00EF71BC" w:rsidP="00EF71BC">
            <w:pPr>
              <w:pStyle w:val="NTUtabletextBold"/>
            </w:pPr>
            <w:r w:rsidRPr="009253DE">
              <w:t>Rider</w:t>
            </w:r>
            <w:r w:rsidRPr="009253DE">
              <w:rPr>
                <w:spacing w:val="-3"/>
              </w:rPr>
              <w:t xml:space="preserve"> </w:t>
            </w:r>
            <w:r w:rsidRPr="009253DE">
              <w:t>main</w:t>
            </w:r>
          </w:p>
        </w:tc>
        <w:tc>
          <w:tcPr>
            <w:tcW w:w="3849" w:type="pct"/>
            <w:gridSpan w:val="2"/>
          </w:tcPr>
          <w:p w14:paraId="45A68720" w14:textId="77777777" w:rsidR="00EF71BC" w:rsidRPr="006627F4" w:rsidRDefault="00EF71BC" w:rsidP="00EF71BC">
            <w:pPr>
              <w:pStyle w:val="NTUtabletext"/>
            </w:pPr>
            <w:r w:rsidRPr="006627F4">
              <w:t>A water supply main that is supplied from a principal watermain. A rider main is smaller than the principal main, but not less than DN50.</w:t>
            </w:r>
          </w:p>
        </w:tc>
      </w:tr>
      <w:tr w:rsidR="00EF71BC" w:rsidRPr="006627F4" w14:paraId="0986506E"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5F80C734" w14:textId="1B6C67C4" w:rsidR="00EF71BC" w:rsidRPr="009253DE" w:rsidRDefault="00EF71BC" w:rsidP="00EF71BC">
            <w:pPr>
              <w:pStyle w:val="NTUtabletextBold"/>
            </w:pPr>
            <w:r w:rsidRPr="00027650">
              <w:t>RMA</w:t>
            </w:r>
          </w:p>
        </w:tc>
        <w:tc>
          <w:tcPr>
            <w:tcW w:w="3849" w:type="pct"/>
            <w:gridSpan w:val="2"/>
          </w:tcPr>
          <w:p w14:paraId="6A66EC5B" w14:textId="6E07D934" w:rsidR="00EF71BC" w:rsidRPr="006627F4" w:rsidRDefault="00EF71BC" w:rsidP="00EF71BC">
            <w:pPr>
              <w:pStyle w:val="NTUtabletext"/>
            </w:pPr>
            <w:r w:rsidRPr="00027650">
              <w:t>Resource Management Act 1991. New Zealand's main piece of legislation that sets out how we should manage our environment.</w:t>
            </w:r>
          </w:p>
        </w:tc>
      </w:tr>
      <w:tr w:rsidR="00EF71BC" w:rsidRPr="006627F4" w14:paraId="2310CCA6"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4A8BD026" w14:textId="285EF30A" w:rsidR="00EF71BC" w:rsidRPr="009253DE" w:rsidRDefault="00EF71BC" w:rsidP="00EF71BC">
            <w:pPr>
              <w:pStyle w:val="NTUtabletextBold"/>
            </w:pPr>
            <w:r w:rsidRPr="00027650">
              <w:t>Runoff</w:t>
            </w:r>
          </w:p>
        </w:tc>
        <w:tc>
          <w:tcPr>
            <w:tcW w:w="3849" w:type="pct"/>
            <w:gridSpan w:val="2"/>
          </w:tcPr>
          <w:p w14:paraId="70BD23BC" w14:textId="10E710CA" w:rsidR="00EF71BC" w:rsidRPr="006627F4" w:rsidRDefault="00EF71BC" w:rsidP="00EF71BC">
            <w:pPr>
              <w:pStyle w:val="NTUtabletext"/>
            </w:pPr>
            <w:r w:rsidRPr="00027650">
              <w:t>The portion of rainfall which runs off the land and into the drainage system and overland flow</w:t>
            </w:r>
            <w:r>
              <w:t xml:space="preserve"> </w:t>
            </w:r>
            <w:r w:rsidRPr="00027650">
              <w:t>path.</w:t>
            </w:r>
          </w:p>
        </w:tc>
      </w:tr>
      <w:tr w:rsidR="00EF71BC" w:rsidRPr="006627F4" w14:paraId="387B069A"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002E57A2" w14:textId="73A79573" w:rsidR="00EF71BC" w:rsidRPr="009253DE" w:rsidRDefault="00EF71BC" w:rsidP="00EF71BC">
            <w:pPr>
              <w:pStyle w:val="NTUtabletextBold"/>
            </w:pPr>
            <w:r w:rsidRPr="00027650">
              <w:t>Secondary flow path</w:t>
            </w:r>
          </w:p>
        </w:tc>
        <w:tc>
          <w:tcPr>
            <w:tcW w:w="3849" w:type="pct"/>
            <w:gridSpan w:val="2"/>
          </w:tcPr>
          <w:p w14:paraId="0CE496D4" w14:textId="202A3899" w:rsidR="00EF71BC" w:rsidRPr="006627F4" w:rsidRDefault="00EF71BC" w:rsidP="00EF71BC">
            <w:pPr>
              <w:pStyle w:val="NTUtabletext"/>
            </w:pPr>
            <w:r w:rsidRPr="00027650">
              <w:t>The route taken by stormwater runoff when the primary network capacity has been exceeded or is blocked.</w:t>
            </w:r>
          </w:p>
        </w:tc>
      </w:tr>
      <w:tr w:rsidR="00EF71BC" w:rsidRPr="006627F4" w14:paraId="6B478982"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19DC051C" w14:textId="530F268A" w:rsidR="00EF71BC" w:rsidRPr="009253DE" w:rsidRDefault="00EF71BC" w:rsidP="00EF71BC">
            <w:pPr>
              <w:pStyle w:val="NTUtabletextBold"/>
            </w:pPr>
            <w:r w:rsidRPr="00027650">
              <w:t xml:space="preserve">Secondary Network   </w:t>
            </w:r>
          </w:p>
        </w:tc>
        <w:tc>
          <w:tcPr>
            <w:tcW w:w="3849" w:type="pct"/>
            <w:gridSpan w:val="2"/>
          </w:tcPr>
          <w:p w14:paraId="28BCBA65" w14:textId="444E96F8" w:rsidR="00EF71BC" w:rsidRPr="006627F4" w:rsidRDefault="00EF71BC" w:rsidP="00EF71BC">
            <w:pPr>
              <w:pStyle w:val="NTUtabletext"/>
            </w:pPr>
            <w:r w:rsidRPr="00027650">
              <w:t>The network (formal or informal) of open watercourses, overland flow paths and pipes that carries stormwater runoff when the primary network capacity has been exceeded or blocked.</w:t>
            </w:r>
          </w:p>
        </w:tc>
      </w:tr>
      <w:tr w:rsidR="00EF71BC" w:rsidRPr="006627F4" w14:paraId="29B7D346"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686822CC" w14:textId="77777777" w:rsidR="00EF71BC" w:rsidRPr="009253DE" w:rsidRDefault="00EF71BC" w:rsidP="00EF71BC">
            <w:pPr>
              <w:pStyle w:val="NTUtabletextBold"/>
            </w:pPr>
            <w:r w:rsidRPr="009253DE">
              <w:t>Service</w:t>
            </w:r>
            <w:r w:rsidRPr="009253DE">
              <w:rPr>
                <w:spacing w:val="-3"/>
              </w:rPr>
              <w:t xml:space="preserve"> </w:t>
            </w:r>
            <w:r w:rsidRPr="009253DE">
              <w:t>lead</w:t>
            </w:r>
          </w:p>
        </w:tc>
        <w:tc>
          <w:tcPr>
            <w:tcW w:w="3849" w:type="pct"/>
            <w:gridSpan w:val="2"/>
          </w:tcPr>
          <w:p w14:paraId="7E0BE75D" w14:textId="77777777" w:rsidR="00EF71BC" w:rsidRPr="006627F4" w:rsidRDefault="00EF71BC" w:rsidP="00EF71BC">
            <w:pPr>
              <w:pStyle w:val="NTUtabletext"/>
            </w:pPr>
            <w:r w:rsidRPr="006627F4">
              <w:t>The lateral pipe connection up to the point of supply is installed in public road reserve and is owned by Watercare. The service lead is also commonly referred to as the “service connection” or “lateral connection”.</w:t>
            </w:r>
          </w:p>
        </w:tc>
      </w:tr>
      <w:tr w:rsidR="00EF71BC" w:rsidRPr="006627F4" w14:paraId="23A145C9"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400FB580" w14:textId="77777777" w:rsidR="00EF71BC" w:rsidRPr="009253DE" w:rsidRDefault="00EF71BC" w:rsidP="00EF71BC">
            <w:pPr>
              <w:pStyle w:val="NTUtabletextBold"/>
            </w:pPr>
            <w:r w:rsidRPr="009253DE">
              <w:t>Sluice</w:t>
            </w:r>
            <w:r w:rsidRPr="009253DE">
              <w:rPr>
                <w:spacing w:val="-3"/>
              </w:rPr>
              <w:t xml:space="preserve"> </w:t>
            </w:r>
            <w:r w:rsidRPr="009253DE">
              <w:t>valve</w:t>
            </w:r>
          </w:p>
        </w:tc>
        <w:tc>
          <w:tcPr>
            <w:tcW w:w="3849" w:type="pct"/>
            <w:gridSpan w:val="2"/>
          </w:tcPr>
          <w:p w14:paraId="35B2B39C" w14:textId="77777777" w:rsidR="00EF71BC" w:rsidRPr="006627F4" w:rsidRDefault="00EF71BC" w:rsidP="00EF71BC">
            <w:pPr>
              <w:pStyle w:val="NTUtabletext"/>
            </w:pPr>
            <w:r w:rsidRPr="006627F4">
              <w:t>A gate valve that is installed on a principal main.</w:t>
            </w:r>
          </w:p>
        </w:tc>
      </w:tr>
      <w:tr w:rsidR="00EF71BC" w:rsidRPr="006627F4" w14:paraId="3DF3A1BA"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158E39B1" w14:textId="6ECDD605" w:rsidR="00EF71BC" w:rsidRPr="009253DE" w:rsidRDefault="00EF71BC" w:rsidP="00EF71BC">
            <w:pPr>
              <w:pStyle w:val="NTUtabletextBold"/>
            </w:pPr>
            <w:r>
              <w:t>Soakage</w:t>
            </w:r>
          </w:p>
        </w:tc>
        <w:tc>
          <w:tcPr>
            <w:tcW w:w="3849" w:type="pct"/>
            <w:gridSpan w:val="2"/>
          </w:tcPr>
          <w:p w14:paraId="0C47EA49" w14:textId="702FC04B" w:rsidR="00EF71BC" w:rsidRPr="006627F4" w:rsidRDefault="00EF71BC" w:rsidP="00EF71BC">
            <w:pPr>
              <w:pStyle w:val="NTUtabletext"/>
            </w:pPr>
            <w:r w:rsidRPr="00027650">
              <w:t>Disposal of stormwater into the ground by way of specifically designed pits, trenches, or bores</w:t>
            </w:r>
          </w:p>
        </w:tc>
      </w:tr>
      <w:tr w:rsidR="00EF71BC" w:rsidRPr="006627F4" w14:paraId="0CCC313A"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026DE8A0" w14:textId="406AC79A" w:rsidR="00EF71BC" w:rsidRPr="009253DE" w:rsidRDefault="00EF71BC" w:rsidP="00EF71BC">
            <w:pPr>
              <w:pStyle w:val="NTUtabletextBold"/>
            </w:pPr>
            <w:r w:rsidRPr="00027650">
              <w:t>Soffit</w:t>
            </w:r>
          </w:p>
        </w:tc>
        <w:tc>
          <w:tcPr>
            <w:tcW w:w="3849" w:type="pct"/>
            <w:gridSpan w:val="2"/>
          </w:tcPr>
          <w:p w14:paraId="4D81EF75" w14:textId="277A7921" w:rsidR="00EF71BC" w:rsidRPr="006627F4" w:rsidRDefault="00EF71BC" w:rsidP="00EF71BC">
            <w:pPr>
              <w:pStyle w:val="NTUtabletext"/>
            </w:pPr>
            <w:r w:rsidRPr="00027650">
              <w:t>The highest point of the internal surface of a pipe or culvert at a given location. Sometimes called the obvert.</w:t>
            </w:r>
          </w:p>
        </w:tc>
      </w:tr>
      <w:tr w:rsidR="00EF71BC" w:rsidRPr="006627F4" w14:paraId="324F6DA9"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48B71D83" w14:textId="535F5EF3" w:rsidR="00EF71BC" w:rsidRPr="009253DE" w:rsidRDefault="00EF71BC" w:rsidP="00EF71BC">
            <w:pPr>
              <w:pStyle w:val="NTUtabletextBold"/>
            </w:pPr>
            <w:r w:rsidRPr="009F00BC">
              <w:t>Stormwater (SW)</w:t>
            </w:r>
          </w:p>
        </w:tc>
        <w:tc>
          <w:tcPr>
            <w:tcW w:w="3849" w:type="pct"/>
            <w:gridSpan w:val="2"/>
          </w:tcPr>
          <w:p w14:paraId="33F3FD76" w14:textId="3D09915A" w:rsidR="00EF71BC" w:rsidRPr="006627F4" w:rsidRDefault="00EF71BC" w:rsidP="00EF71BC">
            <w:pPr>
              <w:pStyle w:val="NTUtabletext"/>
            </w:pPr>
            <w:r w:rsidRPr="00027650">
              <w:t>Rainfall runoff from land, including constructed impervious areas such as roads, pavement, roofs, and urban areas which may contain dissolved or entrained contaminants, and which is diverted and discharged to land and water.</w:t>
            </w:r>
          </w:p>
        </w:tc>
      </w:tr>
      <w:tr w:rsidR="00EF71BC" w:rsidRPr="006627F4" w14:paraId="1F532BA2"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1EBF5560" w14:textId="77777777" w:rsidR="00EF71BC" w:rsidRPr="00027650" w:rsidRDefault="00EF71BC" w:rsidP="00EF71BC">
            <w:pPr>
              <w:pStyle w:val="NTUtabletextBold"/>
            </w:pPr>
            <w:r w:rsidRPr="00027650">
              <w:t>Stormwater Management</w:t>
            </w:r>
          </w:p>
          <w:p w14:paraId="18BE58BA" w14:textId="2D3B176C" w:rsidR="00EF71BC" w:rsidRPr="009F00BC" w:rsidRDefault="00EF71BC" w:rsidP="00EF71BC">
            <w:pPr>
              <w:pStyle w:val="NTUtabletextBold"/>
            </w:pPr>
            <w:r w:rsidRPr="00027650">
              <w:t>Device</w:t>
            </w:r>
          </w:p>
        </w:tc>
        <w:tc>
          <w:tcPr>
            <w:tcW w:w="3849" w:type="pct"/>
            <w:gridSpan w:val="2"/>
          </w:tcPr>
          <w:p w14:paraId="595EA7AB" w14:textId="10292948" w:rsidR="00EF71BC" w:rsidRPr="00027650" w:rsidRDefault="00EF71BC" w:rsidP="00EF71BC">
            <w:pPr>
              <w:pStyle w:val="NTUtabletext"/>
            </w:pPr>
            <w:r w:rsidRPr="00027650">
              <w:t>A device or facility used to reduce stormwater runoff volume, flow and/or contaminant loads</w:t>
            </w:r>
            <w:r>
              <w:t xml:space="preserve"> </w:t>
            </w:r>
            <w:r w:rsidRPr="00027650">
              <w:t>prior to discharge. Examples are rain gardens, pervious paving, and tree pits.</w:t>
            </w:r>
          </w:p>
        </w:tc>
      </w:tr>
      <w:tr w:rsidR="00EF71BC" w:rsidRPr="006627F4" w14:paraId="35043E04"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12558611" w14:textId="77777777" w:rsidR="00EF71BC" w:rsidRPr="009253DE" w:rsidRDefault="00EF71BC" w:rsidP="00EF71BC">
            <w:pPr>
              <w:pStyle w:val="NTUtabletextBold"/>
            </w:pPr>
            <w:r w:rsidRPr="009253DE">
              <w:t>Structure</w:t>
            </w:r>
          </w:p>
        </w:tc>
        <w:tc>
          <w:tcPr>
            <w:tcW w:w="3849" w:type="pct"/>
            <w:gridSpan w:val="2"/>
          </w:tcPr>
          <w:p w14:paraId="7604E64E" w14:textId="77777777" w:rsidR="00EF71BC" w:rsidRPr="006627F4" w:rsidRDefault="00EF71BC" w:rsidP="00EF71BC">
            <w:pPr>
              <w:pStyle w:val="NTUtabletext"/>
            </w:pPr>
            <w:r w:rsidRPr="006627F4">
              <w:t>A piece of infrastructure (excluding pipework), that may be constructed from various types of materials that includes something built or arranged such as underground chambers or pits, a building or building components such as foundations, piles or retaining walls.</w:t>
            </w:r>
          </w:p>
        </w:tc>
      </w:tr>
      <w:tr w:rsidR="00EF71BC" w:rsidRPr="006627F4" w14:paraId="2004DA92"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69BB2453" w14:textId="77777777" w:rsidR="00EF71BC" w:rsidRPr="009253DE" w:rsidRDefault="00EF71BC" w:rsidP="00EF71BC">
            <w:pPr>
              <w:pStyle w:val="NTUtabletextBold"/>
            </w:pPr>
            <w:r w:rsidRPr="009253DE">
              <w:t>Superchlorination</w:t>
            </w:r>
          </w:p>
        </w:tc>
        <w:tc>
          <w:tcPr>
            <w:tcW w:w="3849" w:type="pct"/>
            <w:gridSpan w:val="2"/>
          </w:tcPr>
          <w:p w14:paraId="4B6D772B" w14:textId="77777777" w:rsidR="00EF71BC" w:rsidRPr="006627F4" w:rsidRDefault="00EF71BC" w:rsidP="00EF71BC">
            <w:pPr>
              <w:pStyle w:val="NTUtabletext"/>
            </w:pPr>
            <w:r w:rsidRPr="006627F4">
              <w:t>Increasing the concentration of free available chlorine (FAC) to achieve disinfection over a 1-hour period.</w:t>
            </w:r>
          </w:p>
          <w:p w14:paraId="41817F7E" w14:textId="77777777" w:rsidR="00EF71BC" w:rsidRPr="006627F4" w:rsidRDefault="00EF71BC" w:rsidP="00EF71BC">
            <w:pPr>
              <w:pStyle w:val="NTUtabletext"/>
            </w:pPr>
            <w:r w:rsidRPr="006627F4">
              <w:t>Concentration of FAC will be at 80-100ppm</w:t>
            </w:r>
          </w:p>
        </w:tc>
      </w:tr>
      <w:tr w:rsidR="00EF71BC" w:rsidRPr="006627F4" w14:paraId="782CCEBC" w14:textId="77777777" w:rsidTr="00CB0AFD">
        <w:trPr>
          <w:cantSplit/>
          <w:trHeight w:val="18"/>
        </w:trPr>
        <w:tc>
          <w:tcPr>
            <w:tcW w:w="1151" w:type="pct"/>
            <w:tcMar>
              <w:top w:w="85" w:type="dxa"/>
              <w:left w:w="85" w:type="dxa"/>
              <w:bottom w:w="85" w:type="dxa"/>
              <w:right w:w="85" w:type="dxa"/>
            </w:tcMar>
          </w:tcPr>
          <w:p w14:paraId="1B28742F" w14:textId="77777777" w:rsidR="00EF71BC" w:rsidRPr="00515FC7" w:rsidRDefault="00EF71BC" w:rsidP="00EF71BC">
            <w:pPr>
              <w:pStyle w:val="NTUtabletextBold"/>
            </w:pPr>
            <w:r w:rsidRPr="00515FC7">
              <w:lastRenderedPageBreak/>
              <w:t>Supervisory control and data acquisition (SCADA) system</w:t>
            </w:r>
          </w:p>
          <w:p w14:paraId="79FDDFB3" w14:textId="77777777" w:rsidR="00EF71BC" w:rsidRPr="00515FC7" w:rsidRDefault="00EF71BC" w:rsidP="00EF71BC">
            <w:pPr>
              <w:pStyle w:val="NTUtabletextBold"/>
            </w:pPr>
          </w:p>
        </w:tc>
        <w:tc>
          <w:tcPr>
            <w:tcW w:w="3849" w:type="pct"/>
            <w:gridSpan w:val="2"/>
          </w:tcPr>
          <w:p w14:paraId="1B7BD1D0" w14:textId="77777777" w:rsidR="00EF71BC" w:rsidRPr="00CD6DA2" w:rsidRDefault="00EF71BC" w:rsidP="00EF71BC">
            <w:pPr>
              <w:pStyle w:val="NTUtabletext"/>
              <w:rPr>
                <w:b/>
                <w:bCs/>
              </w:rPr>
            </w:pPr>
            <w:r w:rsidRPr="00515FC7">
              <w:t>SCADA (supervisory control and data acquisition) is a category of software applications for controlling industrial processes, which is the gathering of data in </w:t>
            </w:r>
            <w:hyperlink r:id="rId21" w:history="1">
              <w:r w:rsidRPr="00515FC7">
                <w:t>real time</w:t>
              </w:r>
            </w:hyperlink>
            <w:r w:rsidRPr="00515FC7">
              <w:t> from remote locations in order to control equipment and conditions. SCADA provides organizations with the tools needed to make and deploy data-driven decisions regarding their industrial processes.</w:t>
            </w:r>
          </w:p>
        </w:tc>
      </w:tr>
      <w:tr w:rsidR="00EF71BC" w:rsidRPr="006627F4" w14:paraId="5F81D1CD" w14:textId="77777777" w:rsidTr="00CB0AFD">
        <w:trPr>
          <w:cantSplit/>
          <w:trHeight w:val="18"/>
        </w:trPr>
        <w:tc>
          <w:tcPr>
            <w:tcW w:w="1151" w:type="pct"/>
            <w:tcMar>
              <w:top w:w="85" w:type="dxa"/>
              <w:left w:w="85" w:type="dxa"/>
              <w:bottom w:w="85" w:type="dxa"/>
              <w:right w:w="85" w:type="dxa"/>
            </w:tcMar>
          </w:tcPr>
          <w:p w14:paraId="5C644079" w14:textId="0243C603" w:rsidR="00EF71BC" w:rsidRPr="00515FC7" w:rsidRDefault="00EF71BC" w:rsidP="00EF71BC">
            <w:pPr>
              <w:pStyle w:val="NTUtabletextBold"/>
            </w:pPr>
            <w:r w:rsidRPr="00027650">
              <w:t>SWCoP</w:t>
            </w:r>
          </w:p>
        </w:tc>
        <w:tc>
          <w:tcPr>
            <w:tcW w:w="3849" w:type="pct"/>
            <w:gridSpan w:val="2"/>
          </w:tcPr>
          <w:p w14:paraId="0D0A4EE8" w14:textId="796C9C66" w:rsidR="00EF71BC" w:rsidRPr="00515FC7" w:rsidRDefault="00EF71BC" w:rsidP="00EF71BC">
            <w:pPr>
              <w:pStyle w:val="NTUtabletext"/>
            </w:pPr>
            <w:r w:rsidRPr="00027650">
              <w:t>Stormwater Code of Practice</w:t>
            </w:r>
          </w:p>
        </w:tc>
      </w:tr>
      <w:tr w:rsidR="00EF71BC" w:rsidRPr="006627F4" w14:paraId="71183077"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541EF02C" w14:textId="0FF5A40B" w:rsidR="00EF71BC" w:rsidRPr="009253DE" w:rsidRDefault="00EF71BC" w:rsidP="00EF71BC">
            <w:pPr>
              <w:pStyle w:val="NTUtabletextBold"/>
            </w:pPr>
            <w:r w:rsidRPr="009253DE">
              <w:t>System</w:t>
            </w:r>
            <w:r w:rsidRPr="009253DE">
              <w:rPr>
                <w:spacing w:val="-5"/>
              </w:rPr>
              <w:t xml:space="preserve"> </w:t>
            </w:r>
            <w:r w:rsidRPr="009253DE">
              <w:t>(water/</w:t>
            </w:r>
            <w:r>
              <w:t xml:space="preserve">wastewater </w:t>
            </w:r>
            <w:r w:rsidRPr="009253DE">
              <w:t>network</w:t>
            </w:r>
            <w:r w:rsidRPr="009253DE">
              <w:rPr>
                <w:spacing w:val="-3"/>
              </w:rPr>
              <w:t xml:space="preserve"> </w:t>
            </w:r>
            <w:r w:rsidRPr="009253DE">
              <w:t>reticulation</w:t>
            </w:r>
            <w:r>
              <w:t>)</w:t>
            </w:r>
          </w:p>
        </w:tc>
        <w:tc>
          <w:tcPr>
            <w:tcW w:w="3849" w:type="pct"/>
            <w:gridSpan w:val="2"/>
          </w:tcPr>
          <w:p w14:paraId="41F0ACD7" w14:textId="77777777" w:rsidR="00EF71BC" w:rsidRPr="006627F4" w:rsidRDefault="00EF71BC" w:rsidP="00EF71BC">
            <w:pPr>
              <w:pStyle w:val="NTUtabletext"/>
            </w:pPr>
            <w:r w:rsidRPr="006627F4">
              <w:t>The interconnected hydrological engineered layout and hydraulic</w:t>
            </w:r>
          </w:p>
          <w:p w14:paraId="49237A50" w14:textId="77777777" w:rsidR="00EF71BC" w:rsidRPr="006627F4" w:rsidRDefault="00EF71BC" w:rsidP="00EF71BC">
            <w:pPr>
              <w:pStyle w:val="NTUtabletext"/>
            </w:pPr>
            <w:r w:rsidRPr="006627F4">
              <w:t>components such as pipes, valves and pumps.</w:t>
            </w:r>
          </w:p>
        </w:tc>
      </w:tr>
      <w:tr w:rsidR="00EF71BC" w:rsidRPr="006627F4" w14:paraId="3F8F377D"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76D8F331" w14:textId="52AC2E0F" w:rsidR="00EF71BC" w:rsidRPr="009253DE" w:rsidRDefault="00EF71BC" w:rsidP="00EF71BC">
            <w:pPr>
              <w:pStyle w:val="NTUtabletextBold"/>
            </w:pPr>
            <w:r w:rsidRPr="00027650">
              <w:t>Time of Concentration (ToC)</w:t>
            </w:r>
          </w:p>
        </w:tc>
        <w:tc>
          <w:tcPr>
            <w:tcW w:w="3849" w:type="pct"/>
            <w:gridSpan w:val="2"/>
          </w:tcPr>
          <w:p w14:paraId="7BF6A119" w14:textId="39A8DE11" w:rsidR="00EF71BC" w:rsidRPr="006627F4" w:rsidRDefault="00EF71BC" w:rsidP="00EF71BC">
            <w:pPr>
              <w:pStyle w:val="NTUtabletext"/>
            </w:pPr>
            <w:r w:rsidRPr="00027650">
              <w:t>The time it takes for water to arrive from the top of the catchment to a location downstream.</w:t>
            </w:r>
          </w:p>
        </w:tc>
      </w:tr>
      <w:tr w:rsidR="00EF71BC" w:rsidRPr="006627F4" w14:paraId="7B51BBD7"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5D19B8BE" w14:textId="77777777" w:rsidR="00EF71BC" w:rsidRPr="009253DE" w:rsidRDefault="00EF71BC" w:rsidP="00EF71BC">
            <w:pPr>
              <w:pStyle w:val="NTUtabletextBold"/>
            </w:pPr>
            <w:r w:rsidRPr="009253DE">
              <w:t>Toby</w:t>
            </w:r>
            <w:r w:rsidRPr="009253DE">
              <w:rPr>
                <w:spacing w:val="-1"/>
              </w:rPr>
              <w:t xml:space="preserve"> </w:t>
            </w:r>
            <w:r w:rsidRPr="009253DE">
              <w:t>valve</w:t>
            </w:r>
          </w:p>
        </w:tc>
        <w:tc>
          <w:tcPr>
            <w:tcW w:w="3849" w:type="pct"/>
            <w:gridSpan w:val="2"/>
          </w:tcPr>
          <w:p w14:paraId="3ED137AD" w14:textId="77777777" w:rsidR="00EF71BC" w:rsidRPr="006627F4" w:rsidRDefault="00EF71BC" w:rsidP="00EF71BC">
            <w:pPr>
              <w:pStyle w:val="NTUtabletext"/>
            </w:pPr>
            <w:r w:rsidRPr="006627F4">
              <w:t>A small gate valve installed on a service lead.</w:t>
            </w:r>
          </w:p>
        </w:tc>
      </w:tr>
      <w:tr w:rsidR="00EF71BC" w:rsidRPr="006627F4" w14:paraId="4E8281C7" w14:textId="77777777" w:rsidTr="00C82F2A">
        <w:trPr>
          <w:cantSplit/>
          <w:trHeight w:val="18"/>
        </w:trPr>
        <w:tc>
          <w:tcPr>
            <w:tcW w:w="1151" w:type="pct"/>
            <w:tcMar>
              <w:top w:w="85" w:type="dxa"/>
              <w:left w:w="85" w:type="dxa"/>
              <w:bottom w:w="85" w:type="dxa"/>
              <w:right w:w="85" w:type="dxa"/>
            </w:tcMar>
          </w:tcPr>
          <w:p w14:paraId="2E100C59" w14:textId="77777777" w:rsidR="00EF71BC" w:rsidRPr="009253DE" w:rsidRDefault="00EF71BC" w:rsidP="00EF71BC">
            <w:pPr>
              <w:pStyle w:val="NTUtabletextBold"/>
            </w:pPr>
            <w:r w:rsidRPr="00C4240A">
              <w:t>Tradewaste</w:t>
            </w:r>
          </w:p>
        </w:tc>
        <w:tc>
          <w:tcPr>
            <w:tcW w:w="3849" w:type="pct"/>
            <w:gridSpan w:val="2"/>
          </w:tcPr>
          <w:p w14:paraId="38B68E6B" w14:textId="77777777" w:rsidR="00EF71BC" w:rsidRPr="006627F4" w:rsidRDefault="00EF71BC" w:rsidP="00EF71BC">
            <w:pPr>
              <w:pStyle w:val="NTUtabletext"/>
            </w:pPr>
            <w:r w:rsidRPr="00C4240A">
              <w:t xml:space="preserve">As defined by the trade waste </w:t>
            </w:r>
            <w:r w:rsidRPr="00ED6B8F">
              <w:t>Bylaw or other legislative instrument</w:t>
            </w:r>
            <w:r w:rsidRPr="00C4240A">
              <w:t>: means any liquid, with or without matter in suspension or solution, that is, or may be discharged, from trade premises to a wastewater system in the course of any business, industrial or trade process or operation, or in the course of any activity</w:t>
            </w:r>
            <w:r>
              <w:t xml:space="preserve"> </w:t>
            </w:r>
            <w:r w:rsidRPr="00C4240A">
              <w:t>or operation of a like nature.</w:t>
            </w:r>
          </w:p>
        </w:tc>
      </w:tr>
      <w:tr w:rsidR="00EF71BC" w:rsidRPr="006627F4" w14:paraId="232DC6A9"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77F8D4FE" w14:textId="77777777" w:rsidR="00EF71BC" w:rsidRPr="009253DE" w:rsidRDefault="00EF71BC" w:rsidP="00EF71BC">
            <w:pPr>
              <w:pStyle w:val="NTUtabletextBold"/>
            </w:pPr>
            <w:r w:rsidRPr="009253DE">
              <w:t>Transmission Network</w:t>
            </w:r>
          </w:p>
        </w:tc>
        <w:tc>
          <w:tcPr>
            <w:tcW w:w="3849" w:type="pct"/>
            <w:gridSpan w:val="2"/>
          </w:tcPr>
          <w:p w14:paraId="20100F75" w14:textId="77777777" w:rsidR="00EF71BC" w:rsidRPr="006627F4" w:rsidRDefault="00EF71BC" w:rsidP="00EF71BC">
            <w:pPr>
              <w:pStyle w:val="NTUtabletext"/>
            </w:pPr>
            <w:r>
              <w:t>The bulk distribution system from water treatment plants to reservoir storage and/or bulk supply points. Transmission mains can be differentiated from Local Networks mains in that customer connections are generally only on Local Networks mains, and they are &gt;300mm in diameter. There may be some exceptions, in which case the Entity should be contacted for clarification.</w:t>
            </w:r>
          </w:p>
        </w:tc>
      </w:tr>
      <w:tr w:rsidR="00EF71BC" w:rsidRPr="006627F4" w14:paraId="698F0077" w14:textId="77777777" w:rsidTr="00114B22">
        <w:trPr>
          <w:cantSplit/>
          <w:trHeight w:val="18"/>
        </w:trPr>
        <w:tc>
          <w:tcPr>
            <w:tcW w:w="1151" w:type="pct"/>
            <w:tcMar>
              <w:top w:w="85" w:type="dxa"/>
              <w:left w:w="85" w:type="dxa"/>
              <w:bottom w:w="85" w:type="dxa"/>
              <w:right w:w="85" w:type="dxa"/>
            </w:tcMar>
          </w:tcPr>
          <w:p w14:paraId="19CBED41" w14:textId="77777777" w:rsidR="00EF71BC" w:rsidRPr="009253DE" w:rsidRDefault="00EF71BC" w:rsidP="00EF71BC">
            <w:pPr>
              <w:pStyle w:val="NTUtabletextBold"/>
            </w:pPr>
            <w:r w:rsidRPr="00C4240A">
              <w:t>Wastewater</w:t>
            </w:r>
          </w:p>
        </w:tc>
        <w:tc>
          <w:tcPr>
            <w:tcW w:w="3849" w:type="pct"/>
            <w:gridSpan w:val="2"/>
          </w:tcPr>
          <w:p w14:paraId="3F598D50" w14:textId="77777777" w:rsidR="00EF71BC" w:rsidRPr="006627F4" w:rsidRDefault="00EF71BC" w:rsidP="00EF71BC">
            <w:pPr>
              <w:pStyle w:val="NTUtabletext"/>
            </w:pPr>
            <w:r w:rsidRPr="00C4240A">
              <w:t>Domestic wastewater with or without trade-waste</w:t>
            </w:r>
          </w:p>
        </w:tc>
      </w:tr>
      <w:tr w:rsidR="00EF71BC" w:rsidRPr="006627F4" w14:paraId="7B127270" w14:textId="77777777" w:rsidTr="00C82F2A">
        <w:trPr>
          <w:cantSplit/>
          <w:trHeight w:val="18"/>
        </w:trPr>
        <w:tc>
          <w:tcPr>
            <w:tcW w:w="1151" w:type="pct"/>
            <w:tcMar>
              <w:top w:w="85" w:type="dxa"/>
              <w:left w:w="85" w:type="dxa"/>
              <w:bottom w:w="85" w:type="dxa"/>
              <w:right w:w="85" w:type="dxa"/>
            </w:tcMar>
          </w:tcPr>
          <w:p w14:paraId="2D0E6123" w14:textId="77777777" w:rsidR="00EF71BC" w:rsidRPr="009253DE" w:rsidRDefault="00EF71BC" w:rsidP="00EF71BC">
            <w:pPr>
              <w:pStyle w:val="NTUtabletextBold"/>
            </w:pPr>
            <w:r w:rsidRPr="00D53417">
              <w:t>Wastewater local network</w:t>
            </w:r>
          </w:p>
        </w:tc>
        <w:tc>
          <w:tcPr>
            <w:tcW w:w="3849" w:type="pct"/>
            <w:gridSpan w:val="2"/>
          </w:tcPr>
          <w:p w14:paraId="1BB1478B" w14:textId="77777777" w:rsidR="00EF71BC" w:rsidRPr="006627F4" w:rsidRDefault="00EF71BC" w:rsidP="00EF71BC">
            <w:pPr>
              <w:pStyle w:val="NTUtabletext"/>
            </w:pPr>
            <w:r w:rsidRPr="00D53417">
              <w:t>The wastewater collection system used to convey wastewater from a drain line to the wastewater main. The peak dry weather flow is generally less than 78 litres per second and pipe</w:t>
            </w:r>
            <w:r>
              <w:t xml:space="preserve"> </w:t>
            </w:r>
            <w:r w:rsidRPr="00D53417">
              <w:t>sizes are typically less than 300mm nominal diameter.</w:t>
            </w:r>
          </w:p>
        </w:tc>
      </w:tr>
      <w:tr w:rsidR="00EF71BC" w:rsidRPr="006627F4" w14:paraId="06CFB75F" w14:textId="77777777" w:rsidTr="00C82F2A">
        <w:trPr>
          <w:cantSplit/>
          <w:trHeight w:val="18"/>
        </w:trPr>
        <w:tc>
          <w:tcPr>
            <w:tcW w:w="1151" w:type="pct"/>
            <w:tcMar>
              <w:top w:w="85" w:type="dxa"/>
              <w:left w:w="85" w:type="dxa"/>
              <w:bottom w:w="85" w:type="dxa"/>
              <w:right w:w="85" w:type="dxa"/>
            </w:tcMar>
          </w:tcPr>
          <w:p w14:paraId="0DBD35D1" w14:textId="77777777" w:rsidR="00EF71BC" w:rsidRPr="009253DE" w:rsidRDefault="00EF71BC" w:rsidP="00EF71BC">
            <w:pPr>
              <w:pStyle w:val="NTUtabletextBold"/>
            </w:pPr>
            <w:r w:rsidRPr="0040488D">
              <w:t>Wastewater main</w:t>
            </w:r>
          </w:p>
        </w:tc>
        <w:tc>
          <w:tcPr>
            <w:tcW w:w="3849" w:type="pct"/>
            <w:gridSpan w:val="2"/>
          </w:tcPr>
          <w:p w14:paraId="2EC6419C" w14:textId="77777777" w:rsidR="00EF71BC" w:rsidRPr="006627F4" w:rsidRDefault="00EF71BC" w:rsidP="00EF71BC">
            <w:pPr>
              <w:pStyle w:val="NTUtabletext"/>
            </w:pPr>
            <w:r w:rsidRPr="0040488D">
              <w:t>The wastewater conveyance from a wastewater local network to the treatment plant. The peak dry weather flow is generally greater than 78 litres per second.</w:t>
            </w:r>
          </w:p>
        </w:tc>
      </w:tr>
      <w:tr w:rsidR="00EF71BC" w:rsidRPr="006627F4" w14:paraId="71FB415A"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26D4AF71" w14:textId="77777777" w:rsidR="00EF71BC" w:rsidRPr="009253DE" w:rsidRDefault="00EF71BC" w:rsidP="00EF71BC">
            <w:pPr>
              <w:pStyle w:val="NTUtabletextBold"/>
            </w:pPr>
            <w:r w:rsidRPr="009253DE">
              <w:t>Water</w:t>
            </w:r>
            <w:r w:rsidRPr="009253DE">
              <w:rPr>
                <w:spacing w:val="-3"/>
              </w:rPr>
              <w:t xml:space="preserve"> </w:t>
            </w:r>
            <w:r w:rsidRPr="009253DE">
              <w:t>local</w:t>
            </w:r>
            <w:r w:rsidRPr="009253DE">
              <w:rPr>
                <w:spacing w:val="-2"/>
              </w:rPr>
              <w:t xml:space="preserve"> </w:t>
            </w:r>
            <w:r w:rsidRPr="009253DE">
              <w:t>network</w:t>
            </w:r>
          </w:p>
        </w:tc>
        <w:tc>
          <w:tcPr>
            <w:tcW w:w="3849" w:type="pct"/>
            <w:gridSpan w:val="2"/>
          </w:tcPr>
          <w:p w14:paraId="485B4F3A" w14:textId="77777777" w:rsidR="00EF71BC" w:rsidRPr="006627F4" w:rsidRDefault="00EF71BC" w:rsidP="00EF71BC">
            <w:pPr>
              <w:pStyle w:val="NTUtabletext"/>
            </w:pPr>
            <w:r w:rsidRPr="006627F4">
              <w:rPr>
                <w:lang w:bidi="en-NZ"/>
              </w:rPr>
              <w:t>The water local network covers the reticulated distribution system from the water transmission systems to each property. Pipelines are generally less than DN250.</w:t>
            </w:r>
          </w:p>
        </w:tc>
      </w:tr>
      <w:tr w:rsidR="00EF71BC" w:rsidRPr="006627F4" w14:paraId="1C251A6A"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1576C444" w14:textId="77777777" w:rsidR="00EF71BC" w:rsidRPr="009253DE" w:rsidRDefault="00EF71BC" w:rsidP="00EF71BC">
            <w:pPr>
              <w:pStyle w:val="NTUtabletextBold"/>
            </w:pPr>
            <w:r w:rsidRPr="009253DE">
              <w:t>Water Supply System</w:t>
            </w:r>
          </w:p>
        </w:tc>
        <w:tc>
          <w:tcPr>
            <w:tcW w:w="3849" w:type="pct"/>
            <w:gridSpan w:val="2"/>
          </w:tcPr>
          <w:p w14:paraId="08541137" w14:textId="77777777" w:rsidR="00EF71BC" w:rsidRPr="006627F4" w:rsidRDefault="00EF71BC" w:rsidP="00EF71BC">
            <w:pPr>
              <w:pStyle w:val="NTUtabletext"/>
            </w:pPr>
            <w:r w:rsidRPr="006627F4">
              <w:t>The combined transmission and local network potable water supply system</w:t>
            </w:r>
          </w:p>
        </w:tc>
      </w:tr>
      <w:tr w:rsidR="00EF71BC" w:rsidRPr="006627F4" w14:paraId="1DC47E4A" w14:textId="77777777" w:rsidTr="00730875">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Mar>
              <w:top w:w="85" w:type="dxa"/>
              <w:left w:w="85" w:type="dxa"/>
              <w:bottom w:w="85" w:type="dxa"/>
              <w:right w:w="85" w:type="dxa"/>
            </w:tcMar>
          </w:tcPr>
          <w:p w14:paraId="54BAC56A" w14:textId="77777777" w:rsidR="00EF71BC" w:rsidRPr="009253DE" w:rsidRDefault="00EF71BC" w:rsidP="00EF71BC">
            <w:pPr>
              <w:pStyle w:val="NTUtabletextBold"/>
            </w:pPr>
            <w:r w:rsidRPr="009253DE">
              <w:t>Water</w:t>
            </w:r>
            <w:r w:rsidRPr="009253DE">
              <w:rPr>
                <w:spacing w:val="-2"/>
              </w:rPr>
              <w:t xml:space="preserve"> </w:t>
            </w:r>
            <w:r w:rsidRPr="009253DE">
              <w:t>transmission</w:t>
            </w:r>
          </w:p>
        </w:tc>
        <w:tc>
          <w:tcPr>
            <w:tcW w:w="3849" w:type="pct"/>
            <w:gridSpan w:val="2"/>
          </w:tcPr>
          <w:p w14:paraId="1C344EEC" w14:textId="77777777" w:rsidR="00EF71BC" w:rsidRPr="006627F4" w:rsidRDefault="00EF71BC" w:rsidP="00EF71BC">
            <w:pPr>
              <w:pStyle w:val="NTUtabletext"/>
            </w:pPr>
            <w:r w:rsidRPr="006627F4">
              <w:t>The water transmission system covers the bulk conveyance of water to reservoir storage or to bulk supply points across the Auckland region. Customers are not supplied directly from transmission</w:t>
            </w:r>
            <w:r w:rsidRPr="006627F4">
              <w:rPr>
                <w:spacing w:val="-3"/>
              </w:rPr>
              <w:t xml:space="preserve"> </w:t>
            </w:r>
            <w:r w:rsidRPr="006627F4">
              <w:t>systems.</w:t>
            </w:r>
          </w:p>
        </w:tc>
      </w:tr>
      <w:tr w:rsidR="00EF71BC" w:rsidRPr="006627F4" w14:paraId="4E091D8F" w14:textId="77777777" w:rsidTr="00BD45AD">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151"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03D3FC9A" w14:textId="77777777" w:rsidR="00EF71BC" w:rsidRPr="00027650" w:rsidRDefault="00EF71BC" w:rsidP="00EF71BC">
            <w:pPr>
              <w:pStyle w:val="NTUtabletextBold"/>
            </w:pPr>
            <w:r w:rsidRPr="00027650">
              <w:t>Zone of influence</w:t>
            </w:r>
          </w:p>
        </w:tc>
        <w:tc>
          <w:tcPr>
            <w:tcW w:w="3849" w:type="pct"/>
            <w:gridSpan w:val="2"/>
            <w:tcBorders>
              <w:top w:val="single" w:sz="4" w:space="0" w:color="auto"/>
              <w:left w:val="single" w:sz="4" w:space="0" w:color="293171"/>
              <w:bottom w:val="single" w:sz="4" w:space="0" w:color="auto"/>
              <w:right w:val="single" w:sz="4" w:space="0" w:color="auto"/>
            </w:tcBorders>
          </w:tcPr>
          <w:p w14:paraId="768E596A" w14:textId="77777777" w:rsidR="00EF71BC" w:rsidRPr="006627F4" w:rsidRDefault="00EF71BC" w:rsidP="00EF71BC">
            <w:pPr>
              <w:pStyle w:val="NTUtabletext"/>
            </w:pPr>
            <w:r w:rsidRPr="00027650">
              <w:t xml:space="preserve">See </w:t>
            </w:r>
            <w:r w:rsidRPr="00951E84">
              <w:t xml:space="preserve">Drawing </w:t>
            </w:r>
            <w:r w:rsidRPr="008C07FA">
              <w:t>SW-05 in Appendix B.</w:t>
            </w:r>
          </w:p>
        </w:tc>
      </w:tr>
    </w:tbl>
    <w:p w14:paraId="64830A25" w14:textId="77777777" w:rsidR="00B72F45" w:rsidRDefault="00B72F45" w:rsidP="00B72F45">
      <w:pPr>
        <w:pStyle w:val="NTUNoNumbers-H2"/>
      </w:pPr>
      <w:bookmarkStart w:id="48" w:name="_Toc138851403"/>
      <w:bookmarkStart w:id="49" w:name="_Toc145948930"/>
      <w:r>
        <w:lastRenderedPageBreak/>
        <w:t>ABBREVIATIONS</w:t>
      </w:r>
      <w:bookmarkEnd w:id="48"/>
      <w:bookmarkEnd w:id="49"/>
    </w:p>
    <w:tbl>
      <w:tblPr>
        <w:tblW w:w="5000" w:type="pct"/>
        <w:tblBorders>
          <w:top w:val="single" w:sz="4" w:space="0" w:color="293171"/>
          <w:left w:val="single" w:sz="4" w:space="0" w:color="293171"/>
          <w:bottom w:val="single" w:sz="4" w:space="0" w:color="293171"/>
          <w:right w:val="single" w:sz="4" w:space="0" w:color="293171"/>
          <w:insideH w:val="single" w:sz="4" w:space="0" w:color="293171"/>
          <w:insideV w:val="single" w:sz="4" w:space="0" w:color="293171"/>
        </w:tblBorders>
        <w:tblLook w:val="0400" w:firstRow="0" w:lastRow="0" w:firstColumn="0" w:lastColumn="0" w:noHBand="0" w:noVBand="1"/>
      </w:tblPr>
      <w:tblGrid>
        <w:gridCol w:w="2167"/>
        <w:gridCol w:w="6859"/>
      </w:tblGrid>
      <w:tr w:rsidR="00B72F45" w:rsidRPr="006627F4" w14:paraId="4E6D3FC5" w14:textId="77777777" w:rsidTr="004619ED">
        <w:trPr>
          <w:cantSplit/>
          <w:trHeight w:val="119"/>
          <w:tblHeader/>
        </w:trPr>
        <w:tc>
          <w:tcPr>
            <w:tcW w:w="5000" w:type="pct"/>
            <w:gridSpan w:val="2"/>
            <w:tcBorders>
              <w:top w:val="nil"/>
              <w:left w:val="nil"/>
              <w:right w:val="nil"/>
            </w:tcBorders>
          </w:tcPr>
          <w:p w14:paraId="12291DE9" w14:textId="55833AD7" w:rsidR="00B72F45" w:rsidRPr="006627F4" w:rsidRDefault="00B72F45" w:rsidP="00114B22">
            <w:pPr>
              <w:pStyle w:val="NTUtabletextBold"/>
              <w:rPr>
                <w:lang w:eastAsia="en-NZ" w:bidi="en-NZ"/>
              </w:rPr>
            </w:pPr>
            <w:r w:rsidRPr="006627F4">
              <w:rPr>
                <w:lang w:eastAsia="en-NZ" w:bidi="en-NZ"/>
              </w:rPr>
              <w:t xml:space="preserve">Table </w:t>
            </w:r>
            <w:r w:rsidR="004619ED" w:rsidRPr="00C70ECE">
              <w:rPr>
                <w:highlight w:val="yellow"/>
                <w:lang w:eastAsia="en-NZ" w:bidi="en-NZ"/>
              </w:rPr>
              <w:t>X</w:t>
            </w:r>
            <w:r w:rsidRPr="00C70ECE">
              <w:rPr>
                <w:highlight w:val="yellow"/>
                <w:lang w:eastAsia="en-NZ" w:bidi="en-NZ"/>
              </w:rPr>
              <w:noBreakHyphen/>
            </w:r>
            <w:r w:rsidR="004619ED" w:rsidRPr="00C70ECE">
              <w:rPr>
                <w:highlight w:val="yellow"/>
                <w:lang w:eastAsia="en-NZ" w:bidi="en-NZ"/>
              </w:rPr>
              <w:t>X</w:t>
            </w:r>
            <w:r w:rsidRPr="006627F4">
              <w:rPr>
                <w:lang w:eastAsia="en-NZ" w:bidi="en-NZ"/>
              </w:rPr>
              <w:t xml:space="preserve"> - Abbreviations</w:t>
            </w:r>
          </w:p>
        </w:tc>
      </w:tr>
      <w:tr w:rsidR="00B72F45" w:rsidRPr="006627F4" w14:paraId="03093D3F" w14:textId="77777777" w:rsidTr="004619ED">
        <w:trPr>
          <w:cantSplit/>
          <w:trHeight w:val="119"/>
          <w:tblHeader/>
        </w:trPr>
        <w:tc>
          <w:tcPr>
            <w:tcW w:w="5000" w:type="pct"/>
            <w:gridSpan w:val="2"/>
            <w:tcBorders>
              <w:top w:val="nil"/>
              <w:left w:val="nil"/>
              <w:right w:val="nil"/>
            </w:tcBorders>
          </w:tcPr>
          <w:p w14:paraId="50345762" w14:textId="77777777" w:rsidR="00B72F45" w:rsidRPr="006627F4" w:rsidRDefault="00B72F45" w:rsidP="00114B22">
            <w:pPr>
              <w:pStyle w:val="NTUtabletextBold"/>
              <w:rPr>
                <w:lang w:eastAsia="en-NZ" w:bidi="en-NZ"/>
              </w:rPr>
            </w:pPr>
          </w:p>
        </w:tc>
      </w:tr>
      <w:tr w:rsidR="00B72F45" w:rsidRPr="006627F4" w14:paraId="72438068" w14:textId="77777777" w:rsidTr="004619ED">
        <w:trPr>
          <w:cantSplit/>
          <w:trHeight w:val="119"/>
          <w:tblHeader/>
        </w:trPr>
        <w:tc>
          <w:tcPr>
            <w:tcW w:w="5000" w:type="pct"/>
            <w:gridSpan w:val="2"/>
            <w:tcBorders>
              <w:top w:val="nil"/>
              <w:left w:val="nil"/>
              <w:right w:val="nil"/>
            </w:tcBorders>
          </w:tcPr>
          <w:p w14:paraId="147F49EB" w14:textId="77777777" w:rsidR="00B72F45" w:rsidRPr="006627F4" w:rsidRDefault="00B72F45" w:rsidP="00114B22">
            <w:pPr>
              <w:pStyle w:val="NTUtabletextBold"/>
              <w:rPr>
                <w:lang w:eastAsia="en-NZ" w:bidi="en-NZ"/>
              </w:rPr>
            </w:pPr>
          </w:p>
        </w:tc>
      </w:tr>
      <w:tr w:rsidR="00B72F45" w:rsidRPr="006627F4" w14:paraId="3412EBD3" w14:textId="77777777" w:rsidTr="004619ED">
        <w:trPr>
          <w:cantSplit/>
          <w:trHeight w:val="346"/>
          <w:tblHeader/>
        </w:trPr>
        <w:tc>
          <w:tcPr>
            <w:tcW w:w="1200" w:type="pct"/>
            <w:shd w:val="clear" w:color="auto" w:fill="0070C0"/>
            <w:tcMar>
              <w:top w:w="85" w:type="dxa"/>
              <w:left w:w="85" w:type="dxa"/>
              <w:bottom w:w="85" w:type="dxa"/>
              <w:right w:w="85" w:type="dxa"/>
            </w:tcMar>
          </w:tcPr>
          <w:p w14:paraId="22A203EE" w14:textId="77777777" w:rsidR="00B72F45" w:rsidRPr="006627F4" w:rsidRDefault="00B72F45" w:rsidP="00114B22">
            <w:pPr>
              <w:pStyle w:val="NTUMasterNormal"/>
            </w:pPr>
            <w:r w:rsidRPr="006627F4">
              <w:t>Abbreviations</w:t>
            </w:r>
          </w:p>
        </w:tc>
        <w:tc>
          <w:tcPr>
            <w:tcW w:w="3800" w:type="pct"/>
            <w:shd w:val="clear" w:color="auto" w:fill="0070C0"/>
          </w:tcPr>
          <w:p w14:paraId="3C7D7589" w14:textId="77777777" w:rsidR="00B72F45" w:rsidRPr="006627F4" w:rsidRDefault="00B72F45" w:rsidP="00114B22">
            <w:pPr>
              <w:spacing w:after="0"/>
              <w:rPr>
                <w:b/>
                <w:bCs/>
                <w:color w:val="F2F2EA" w:themeColor="background1"/>
                <w:sz w:val="18"/>
                <w:szCs w:val="18"/>
              </w:rPr>
            </w:pPr>
          </w:p>
        </w:tc>
      </w:tr>
      <w:tr w:rsidR="00B34D21" w:rsidRPr="006627F4" w14:paraId="25649740" w14:textId="77777777" w:rsidTr="00B34D21">
        <w:trPr>
          <w:cantSplit/>
          <w:tblHeader/>
        </w:trPr>
        <w:tc>
          <w:tcPr>
            <w:tcW w:w="1200" w:type="pct"/>
            <w:tcMar>
              <w:top w:w="85" w:type="dxa"/>
              <w:left w:w="85" w:type="dxa"/>
              <w:bottom w:w="85" w:type="dxa"/>
              <w:right w:w="85" w:type="dxa"/>
            </w:tcMar>
          </w:tcPr>
          <w:p w14:paraId="42D74CE6" w14:textId="77777777" w:rsidR="00B34D21" w:rsidRPr="009253DE" w:rsidRDefault="00B34D21" w:rsidP="00C82F2A">
            <w:pPr>
              <w:pStyle w:val="NTUtabletextBold"/>
            </w:pPr>
            <w:r w:rsidRPr="00472CDA">
              <w:t>AC</w:t>
            </w:r>
          </w:p>
        </w:tc>
        <w:tc>
          <w:tcPr>
            <w:tcW w:w="3800" w:type="pct"/>
          </w:tcPr>
          <w:p w14:paraId="58ADFA35" w14:textId="77777777" w:rsidR="00B34D21" w:rsidRPr="006627F4" w:rsidRDefault="00B34D21" w:rsidP="00C82F2A">
            <w:pPr>
              <w:pStyle w:val="NTUtabletext"/>
            </w:pPr>
            <w:r>
              <w:t>Alternating Current</w:t>
            </w:r>
          </w:p>
        </w:tc>
      </w:tr>
      <w:tr w:rsidR="00B72F45" w:rsidRPr="006627F4" w14:paraId="47D41196" w14:textId="77777777" w:rsidTr="004619ED">
        <w:trPr>
          <w:cantSplit/>
          <w:tblHeader/>
        </w:trPr>
        <w:tc>
          <w:tcPr>
            <w:tcW w:w="1200" w:type="pct"/>
            <w:tcMar>
              <w:top w:w="85" w:type="dxa"/>
              <w:left w:w="85" w:type="dxa"/>
              <w:bottom w:w="85" w:type="dxa"/>
              <w:right w:w="85" w:type="dxa"/>
            </w:tcMar>
          </w:tcPr>
          <w:p w14:paraId="54EDDC70" w14:textId="77777777" w:rsidR="00B72F45" w:rsidRPr="009253DE" w:rsidRDefault="00B72F45" w:rsidP="00114B22">
            <w:pPr>
              <w:pStyle w:val="NTUtabletextBold"/>
            </w:pPr>
            <w:r w:rsidRPr="009253DE">
              <w:t>AEP</w:t>
            </w:r>
          </w:p>
        </w:tc>
        <w:tc>
          <w:tcPr>
            <w:tcW w:w="3800" w:type="pct"/>
          </w:tcPr>
          <w:p w14:paraId="442E85E9" w14:textId="77777777" w:rsidR="00B72F45" w:rsidRPr="006627F4" w:rsidRDefault="00B72F45" w:rsidP="00114B22">
            <w:pPr>
              <w:pStyle w:val="NTUtabletext"/>
            </w:pPr>
            <w:r w:rsidRPr="006627F4">
              <w:t>Annual exceedance</w:t>
            </w:r>
            <w:r w:rsidRPr="006627F4">
              <w:rPr>
                <w:spacing w:val="-2"/>
              </w:rPr>
              <w:t xml:space="preserve"> </w:t>
            </w:r>
            <w:r w:rsidRPr="006627F4">
              <w:t>probability</w:t>
            </w:r>
          </w:p>
        </w:tc>
      </w:tr>
      <w:tr w:rsidR="00B34D21" w:rsidRPr="006627F4" w14:paraId="6EA381FE" w14:textId="77777777" w:rsidTr="00B34D21">
        <w:trPr>
          <w:cantSplit/>
          <w:tblHeader/>
        </w:trPr>
        <w:tc>
          <w:tcPr>
            <w:tcW w:w="1200" w:type="pct"/>
            <w:tcMar>
              <w:top w:w="85" w:type="dxa"/>
              <w:left w:w="85" w:type="dxa"/>
              <w:bottom w:w="85" w:type="dxa"/>
              <w:right w:w="85" w:type="dxa"/>
            </w:tcMar>
          </w:tcPr>
          <w:p w14:paraId="139B55A1" w14:textId="77777777" w:rsidR="00B34D21" w:rsidRPr="009253DE" w:rsidRDefault="00B34D21" w:rsidP="00C82F2A">
            <w:pPr>
              <w:pStyle w:val="NTUtabletextBold"/>
            </w:pPr>
            <w:r w:rsidRPr="00472CDA">
              <w:t>AS</w:t>
            </w:r>
          </w:p>
        </w:tc>
        <w:tc>
          <w:tcPr>
            <w:tcW w:w="3800" w:type="pct"/>
          </w:tcPr>
          <w:p w14:paraId="4930C287" w14:textId="77777777" w:rsidR="00B34D21" w:rsidRPr="006627F4" w:rsidRDefault="00B34D21" w:rsidP="00C82F2A">
            <w:pPr>
              <w:pStyle w:val="NTUtabletext"/>
            </w:pPr>
            <w:r w:rsidRPr="00407924">
              <w:t>Australian Standard</w:t>
            </w:r>
          </w:p>
        </w:tc>
      </w:tr>
      <w:tr w:rsidR="002D7057" w:rsidRPr="006627F4" w14:paraId="712812DE" w14:textId="77777777" w:rsidTr="002D7057">
        <w:trPr>
          <w:cantSplit/>
          <w:tblHeader/>
        </w:trPr>
        <w:tc>
          <w:tcPr>
            <w:tcW w:w="1200" w:type="pct"/>
            <w:tcMar>
              <w:top w:w="85" w:type="dxa"/>
              <w:left w:w="85" w:type="dxa"/>
              <w:bottom w:w="85" w:type="dxa"/>
              <w:right w:w="85" w:type="dxa"/>
            </w:tcMar>
          </w:tcPr>
          <w:p w14:paraId="5C2EF8C9" w14:textId="77777777" w:rsidR="002D7057" w:rsidRPr="009253DE" w:rsidRDefault="002D7057" w:rsidP="00C82F2A">
            <w:pPr>
              <w:pStyle w:val="NTUtabletextBold"/>
            </w:pPr>
            <w:r w:rsidRPr="00472CDA">
              <w:t>AS/NZS</w:t>
            </w:r>
          </w:p>
        </w:tc>
        <w:tc>
          <w:tcPr>
            <w:tcW w:w="3800" w:type="pct"/>
          </w:tcPr>
          <w:p w14:paraId="110B14C2" w14:textId="77777777" w:rsidR="002D7057" w:rsidRPr="006627F4" w:rsidRDefault="002D7057" w:rsidP="00C82F2A">
            <w:pPr>
              <w:pStyle w:val="NTUtabletext"/>
            </w:pPr>
            <w:r w:rsidRPr="00472CDA">
              <w:t>Australian New Zealand Standard</w:t>
            </w:r>
          </w:p>
        </w:tc>
      </w:tr>
      <w:tr w:rsidR="004619ED" w:rsidRPr="006627F4" w14:paraId="2A103BB7" w14:textId="77777777" w:rsidTr="004619ED">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200" w:type="pct"/>
            <w:tcMar>
              <w:top w:w="85" w:type="dxa"/>
              <w:left w:w="85" w:type="dxa"/>
              <w:bottom w:w="85" w:type="dxa"/>
              <w:right w:w="85" w:type="dxa"/>
            </w:tcMar>
          </w:tcPr>
          <w:p w14:paraId="7DD6941D" w14:textId="77777777" w:rsidR="004619ED" w:rsidRPr="009253DE" w:rsidRDefault="004619ED" w:rsidP="00C82F2A">
            <w:pPr>
              <w:pStyle w:val="NTUtabletextBold"/>
            </w:pPr>
            <w:r w:rsidRPr="009253DE">
              <w:t>BPD</w:t>
            </w:r>
          </w:p>
        </w:tc>
        <w:tc>
          <w:tcPr>
            <w:tcW w:w="3800" w:type="pct"/>
          </w:tcPr>
          <w:p w14:paraId="2BFD28BA" w14:textId="77777777" w:rsidR="004619ED" w:rsidRPr="006627F4" w:rsidRDefault="004619ED" w:rsidP="00C82F2A">
            <w:pPr>
              <w:pStyle w:val="NTUtabletext"/>
            </w:pPr>
            <w:r w:rsidRPr="006627F4">
              <w:t>Backflow Protection Device</w:t>
            </w:r>
          </w:p>
        </w:tc>
      </w:tr>
      <w:tr w:rsidR="00EF71BC" w:rsidRPr="006627F4" w14:paraId="6A25BA23" w14:textId="77777777" w:rsidTr="004619ED">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200" w:type="pct"/>
            <w:tcMar>
              <w:top w:w="85" w:type="dxa"/>
              <w:left w:w="85" w:type="dxa"/>
              <w:bottom w:w="85" w:type="dxa"/>
              <w:right w:w="85" w:type="dxa"/>
            </w:tcMar>
          </w:tcPr>
          <w:p w14:paraId="59E43BF4" w14:textId="18446210" w:rsidR="00EF71BC" w:rsidRPr="00EF71BC" w:rsidRDefault="00EF71BC" w:rsidP="00C82F2A">
            <w:pPr>
              <w:pStyle w:val="NTUtabletextBold"/>
            </w:pPr>
            <w:r w:rsidRPr="00EF71BC">
              <w:t>BPO</w:t>
            </w:r>
          </w:p>
        </w:tc>
        <w:tc>
          <w:tcPr>
            <w:tcW w:w="3800" w:type="pct"/>
          </w:tcPr>
          <w:p w14:paraId="23DCD6B6" w14:textId="0B29FD4A" w:rsidR="00EF71BC" w:rsidRPr="00EF71BC" w:rsidRDefault="00EF71BC" w:rsidP="00C82F2A">
            <w:pPr>
              <w:pStyle w:val="NTUtabletext"/>
            </w:pPr>
            <w:r w:rsidRPr="00EF71BC">
              <w:t>Best Practicable Option</w:t>
            </w:r>
          </w:p>
        </w:tc>
      </w:tr>
      <w:tr w:rsidR="002D7057" w:rsidRPr="006627F4" w14:paraId="6D0E0EA3" w14:textId="77777777" w:rsidTr="002D7057">
        <w:trPr>
          <w:cantSplit/>
          <w:tblHeader/>
        </w:trPr>
        <w:tc>
          <w:tcPr>
            <w:tcW w:w="1200" w:type="pct"/>
            <w:tcMar>
              <w:top w:w="85" w:type="dxa"/>
              <w:left w:w="85" w:type="dxa"/>
              <w:bottom w:w="85" w:type="dxa"/>
              <w:right w:w="85" w:type="dxa"/>
            </w:tcMar>
          </w:tcPr>
          <w:p w14:paraId="234C4C26" w14:textId="77777777" w:rsidR="002D7057" w:rsidRPr="00472CDA" w:rsidRDefault="002D7057" w:rsidP="00C82F2A">
            <w:pPr>
              <w:pStyle w:val="NTUtabletextBold"/>
            </w:pPr>
            <w:r>
              <w:t>BS</w:t>
            </w:r>
          </w:p>
        </w:tc>
        <w:tc>
          <w:tcPr>
            <w:tcW w:w="3800" w:type="pct"/>
          </w:tcPr>
          <w:p w14:paraId="41121074" w14:textId="77777777" w:rsidR="002D7057" w:rsidRPr="00472CDA" w:rsidRDefault="002D7057" w:rsidP="00C82F2A">
            <w:pPr>
              <w:pStyle w:val="NTUtabletext"/>
            </w:pPr>
            <w:r>
              <w:t>British Standard</w:t>
            </w:r>
          </w:p>
        </w:tc>
      </w:tr>
      <w:tr w:rsidR="004619ED" w:rsidRPr="006627F4" w14:paraId="367BBB3E" w14:textId="77777777" w:rsidTr="004619ED">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200" w:type="pct"/>
            <w:tcMar>
              <w:top w:w="85" w:type="dxa"/>
              <w:left w:w="85" w:type="dxa"/>
              <w:bottom w:w="85" w:type="dxa"/>
              <w:right w:w="85" w:type="dxa"/>
            </w:tcMar>
          </w:tcPr>
          <w:p w14:paraId="4BCFB4A5" w14:textId="77777777" w:rsidR="004619ED" w:rsidRPr="009253DE" w:rsidRDefault="004619ED" w:rsidP="00C82F2A">
            <w:pPr>
              <w:pStyle w:val="NTUtabletextBold"/>
            </w:pPr>
            <w:r w:rsidRPr="009253DE">
              <w:t>BSP</w:t>
            </w:r>
          </w:p>
        </w:tc>
        <w:tc>
          <w:tcPr>
            <w:tcW w:w="3800" w:type="pct"/>
          </w:tcPr>
          <w:p w14:paraId="7A51FD9F" w14:textId="77777777" w:rsidR="004619ED" w:rsidRPr="006627F4" w:rsidRDefault="004619ED" w:rsidP="00C82F2A">
            <w:pPr>
              <w:pStyle w:val="NTUtabletext"/>
            </w:pPr>
            <w:r w:rsidRPr="006627F4">
              <w:t>Bulk Supply Point</w:t>
            </w:r>
          </w:p>
        </w:tc>
      </w:tr>
      <w:tr w:rsidR="00EF71BC" w:rsidRPr="006627F4" w14:paraId="14AB1ECE" w14:textId="77777777" w:rsidTr="004619ED">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200" w:type="pct"/>
            <w:tcMar>
              <w:top w:w="85" w:type="dxa"/>
              <w:left w:w="85" w:type="dxa"/>
              <w:bottom w:w="85" w:type="dxa"/>
              <w:right w:w="85" w:type="dxa"/>
            </w:tcMar>
          </w:tcPr>
          <w:p w14:paraId="3BBB93A4" w14:textId="2D221851" w:rsidR="00EF71BC" w:rsidRPr="009253DE" w:rsidRDefault="00EF71BC" w:rsidP="00C82F2A">
            <w:pPr>
              <w:pStyle w:val="NTUtabletextBold"/>
            </w:pPr>
            <w:r w:rsidRPr="00B76783">
              <w:t>CAR</w:t>
            </w:r>
          </w:p>
        </w:tc>
        <w:tc>
          <w:tcPr>
            <w:tcW w:w="3800" w:type="pct"/>
          </w:tcPr>
          <w:p w14:paraId="261BD445" w14:textId="44CB3AD1" w:rsidR="00EF71BC" w:rsidRPr="006627F4" w:rsidRDefault="00EF71BC" w:rsidP="00C82F2A">
            <w:pPr>
              <w:pStyle w:val="NTUtabletext"/>
            </w:pPr>
            <w:r w:rsidRPr="00027650">
              <w:t>Corridor Access Request. An authorisation for working in the road corridor, administered by NZTA local authority.</w:t>
            </w:r>
          </w:p>
        </w:tc>
      </w:tr>
    </w:tbl>
    <w:p w14:paraId="1DE36968" w14:textId="60BDACB0" w:rsidR="00E41686" w:rsidRDefault="00E41686"/>
    <w:tbl>
      <w:tblPr>
        <w:tblW w:w="5006" w:type="pct"/>
        <w:tblInd w:w="-5" w:type="dxa"/>
        <w:tblBorders>
          <w:top w:val="single" w:sz="4" w:space="0" w:color="293171"/>
          <w:left w:val="single" w:sz="4" w:space="0" w:color="293171"/>
          <w:bottom w:val="single" w:sz="4" w:space="0" w:color="293171"/>
          <w:right w:val="single" w:sz="4" w:space="0" w:color="293171"/>
          <w:insideH w:val="single" w:sz="4" w:space="0" w:color="293171"/>
          <w:insideV w:val="single" w:sz="4" w:space="0" w:color="293171"/>
        </w:tblBorders>
        <w:tblLook w:val="0400" w:firstRow="0" w:lastRow="0" w:firstColumn="0" w:lastColumn="0" w:noHBand="0" w:noVBand="1"/>
      </w:tblPr>
      <w:tblGrid>
        <w:gridCol w:w="2166"/>
        <w:gridCol w:w="6853"/>
        <w:gridCol w:w="8"/>
      </w:tblGrid>
      <w:tr w:rsidR="00B72F45" w:rsidRPr="006627F4" w14:paraId="47CE3C7A" w14:textId="77777777" w:rsidTr="00EF71BC">
        <w:trPr>
          <w:cantSplit/>
          <w:trHeight w:val="18"/>
          <w:tblHeader/>
        </w:trPr>
        <w:tc>
          <w:tcPr>
            <w:tcW w:w="1200" w:type="pct"/>
            <w:tcMar>
              <w:top w:w="85" w:type="dxa"/>
              <w:left w:w="85" w:type="dxa"/>
              <w:bottom w:w="85" w:type="dxa"/>
              <w:right w:w="85" w:type="dxa"/>
            </w:tcMar>
          </w:tcPr>
          <w:p w14:paraId="2DB38E72" w14:textId="166E3B3E" w:rsidR="00B72F45" w:rsidRPr="009253DE" w:rsidRDefault="00B72F45" w:rsidP="00114B22">
            <w:pPr>
              <w:pStyle w:val="NTUtabletextBold"/>
            </w:pPr>
            <w:r w:rsidRPr="009253DE">
              <w:t>CBD</w:t>
            </w:r>
          </w:p>
        </w:tc>
        <w:tc>
          <w:tcPr>
            <w:tcW w:w="3800" w:type="pct"/>
            <w:gridSpan w:val="2"/>
          </w:tcPr>
          <w:p w14:paraId="5C6C74EB" w14:textId="77777777" w:rsidR="00B72F45" w:rsidRPr="006627F4" w:rsidRDefault="00B72F45" w:rsidP="00114B22">
            <w:pPr>
              <w:pStyle w:val="NTUtabletext"/>
            </w:pPr>
            <w:r w:rsidRPr="006627F4">
              <w:t>Central business district</w:t>
            </w:r>
          </w:p>
        </w:tc>
      </w:tr>
      <w:tr w:rsidR="00B72F45" w:rsidRPr="006627F4" w14:paraId="7A32D952" w14:textId="77777777" w:rsidTr="00EF71BC">
        <w:trPr>
          <w:cantSplit/>
          <w:trHeight w:val="18"/>
          <w:tblHeader/>
        </w:trPr>
        <w:tc>
          <w:tcPr>
            <w:tcW w:w="1200" w:type="pct"/>
            <w:tcMar>
              <w:top w:w="85" w:type="dxa"/>
              <w:left w:w="85" w:type="dxa"/>
              <w:bottom w:w="85" w:type="dxa"/>
              <w:right w:w="85" w:type="dxa"/>
            </w:tcMar>
          </w:tcPr>
          <w:p w14:paraId="4DF2FDBE" w14:textId="77777777" w:rsidR="00B72F45" w:rsidRPr="009253DE" w:rsidRDefault="00B72F45" w:rsidP="00114B22">
            <w:pPr>
              <w:pStyle w:val="NTUtabletextBold"/>
            </w:pPr>
            <w:r w:rsidRPr="009253DE">
              <w:t>CCO</w:t>
            </w:r>
          </w:p>
        </w:tc>
        <w:tc>
          <w:tcPr>
            <w:tcW w:w="3800" w:type="pct"/>
            <w:gridSpan w:val="2"/>
          </w:tcPr>
          <w:p w14:paraId="7DFD51AA" w14:textId="77777777" w:rsidR="00B72F45" w:rsidRPr="006627F4" w:rsidRDefault="00B72F45" w:rsidP="00114B22">
            <w:pPr>
              <w:pStyle w:val="NTUtabletext"/>
            </w:pPr>
            <w:r w:rsidRPr="006627F4">
              <w:t xml:space="preserve">Council </w:t>
            </w:r>
            <w:r>
              <w:t>C</w:t>
            </w:r>
            <w:r w:rsidRPr="006627F4">
              <w:t xml:space="preserve">ontrolled </w:t>
            </w:r>
            <w:r>
              <w:t>O</w:t>
            </w:r>
            <w:r w:rsidRPr="006627F4">
              <w:t>rganisation</w:t>
            </w:r>
          </w:p>
        </w:tc>
      </w:tr>
      <w:tr w:rsidR="004619ED" w:rsidRPr="006627F4" w14:paraId="6DC786D9" w14:textId="77777777" w:rsidTr="00EF71BC">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200" w:type="pct"/>
            <w:tcMar>
              <w:top w:w="85" w:type="dxa"/>
              <w:left w:w="85" w:type="dxa"/>
              <w:bottom w:w="85" w:type="dxa"/>
              <w:right w:w="85" w:type="dxa"/>
            </w:tcMar>
          </w:tcPr>
          <w:p w14:paraId="65AE686A" w14:textId="77777777" w:rsidR="004619ED" w:rsidRPr="009253DE" w:rsidRDefault="004619ED" w:rsidP="00C82F2A">
            <w:pPr>
              <w:pStyle w:val="NTUtabletextBold"/>
            </w:pPr>
            <w:r w:rsidRPr="009253DE">
              <w:t>CCTV</w:t>
            </w:r>
          </w:p>
        </w:tc>
        <w:tc>
          <w:tcPr>
            <w:tcW w:w="3800" w:type="pct"/>
            <w:gridSpan w:val="2"/>
          </w:tcPr>
          <w:p w14:paraId="6EE8A324" w14:textId="74E3AFA8" w:rsidR="004619ED" w:rsidRPr="006627F4" w:rsidRDefault="004619ED" w:rsidP="00EF71BC">
            <w:pPr>
              <w:pStyle w:val="NTUtabletext"/>
            </w:pPr>
            <w:r w:rsidRPr="006627F4">
              <w:t>Closed Circuit Television</w:t>
            </w:r>
            <w:r w:rsidR="00EF71BC">
              <w:t xml:space="preserve">. </w:t>
            </w:r>
            <w:r w:rsidR="00EF71BC" w:rsidRPr="00027650">
              <w:t>Used to inspect pipelines in order to determine the interior condition</w:t>
            </w:r>
            <w:r w:rsidR="00EF71BC">
              <w:t xml:space="preserve"> </w:t>
            </w:r>
            <w:r w:rsidR="00EF71BC" w:rsidRPr="00027650">
              <w:t>of the pipe.</w:t>
            </w:r>
          </w:p>
        </w:tc>
      </w:tr>
      <w:tr w:rsidR="004619ED" w:rsidRPr="006627F4" w14:paraId="06044E07" w14:textId="77777777" w:rsidTr="00EF71BC">
        <w:trPr>
          <w:cantSplit/>
          <w:trHeight w:val="18"/>
          <w:tblHeader/>
        </w:trPr>
        <w:tc>
          <w:tcPr>
            <w:tcW w:w="1200" w:type="pct"/>
            <w:tcMar>
              <w:top w:w="85" w:type="dxa"/>
              <w:left w:w="85" w:type="dxa"/>
              <w:bottom w:w="85" w:type="dxa"/>
              <w:right w:w="85" w:type="dxa"/>
            </w:tcMar>
          </w:tcPr>
          <w:p w14:paraId="208B06CA" w14:textId="77777777" w:rsidR="004619ED" w:rsidRPr="009253DE" w:rsidRDefault="004619ED" w:rsidP="007C5460">
            <w:pPr>
              <w:pStyle w:val="NTUtabletextBold"/>
            </w:pPr>
            <w:r w:rsidRPr="009253DE">
              <w:t>CLS</w:t>
            </w:r>
          </w:p>
        </w:tc>
        <w:tc>
          <w:tcPr>
            <w:tcW w:w="3800" w:type="pct"/>
            <w:gridSpan w:val="2"/>
          </w:tcPr>
          <w:p w14:paraId="10902C68" w14:textId="77777777" w:rsidR="004619ED" w:rsidRPr="006627F4" w:rsidRDefault="004619ED" w:rsidP="007C5460">
            <w:pPr>
              <w:pStyle w:val="NTUtabletext"/>
            </w:pPr>
            <w:r w:rsidRPr="006627F4">
              <w:t>Concrete lined steel</w:t>
            </w:r>
            <w:r w:rsidRPr="006627F4">
              <w:rPr>
                <w:spacing w:val="-1"/>
              </w:rPr>
              <w:t xml:space="preserve"> </w:t>
            </w:r>
            <w:r w:rsidRPr="006627F4">
              <w:t>(pipe)</w:t>
            </w:r>
          </w:p>
        </w:tc>
      </w:tr>
      <w:tr w:rsidR="00B72F45" w:rsidRPr="006627F4" w14:paraId="78663342" w14:textId="77777777" w:rsidTr="00EF71BC">
        <w:trPr>
          <w:cantSplit/>
          <w:trHeight w:val="18"/>
          <w:tblHeader/>
        </w:trPr>
        <w:tc>
          <w:tcPr>
            <w:tcW w:w="1200" w:type="pct"/>
            <w:tcMar>
              <w:top w:w="85" w:type="dxa"/>
              <w:left w:w="85" w:type="dxa"/>
              <w:bottom w:w="85" w:type="dxa"/>
              <w:right w:w="85" w:type="dxa"/>
            </w:tcMar>
          </w:tcPr>
          <w:p w14:paraId="0BC814A8" w14:textId="77777777" w:rsidR="00B72F45" w:rsidRPr="00ED628F" w:rsidRDefault="00B72F45" w:rsidP="00114B22">
            <w:pPr>
              <w:pStyle w:val="NTUtabletextBold"/>
            </w:pPr>
            <w:r w:rsidRPr="00ED628F">
              <w:t>CoP</w:t>
            </w:r>
          </w:p>
        </w:tc>
        <w:tc>
          <w:tcPr>
            <w:tcW w:w="3800" w:type="pct"/>
            <w:gridSpan w:val="2"/>
          </w:tcPr>
          <w:p w14:paraId="15CD19DF" w14:textId="61652358" w:rsidR="00B72F45" w:rsidRPr="00ED628F" w:rsidRDefault="00B72F45" w:rsidP="00114B22">
            <w:pPr>
              <w:pStyle w:val="NTUtabletext"/>
            </w:pPr>
            <w:r w:rsidRPr="00ED628F">
              <w:t>Code of</w:t>
            </w:r>
            <w:r w:rsidRPr="00ED628F">
              <w:rPr>
                <w:spacing w:val="-3"/>
              </w:rPr>
              <w:t xml:space="preserve"> </w:t>
            </w:r>
            <w:r w:rsidRPr="00ED628F">
              <w:t>Practice</w:t>
            </w:r>
            <w:r w:rsidR="00EF71BC">
              <w:t>.</w:t>
            </w:r>
            <w:r w:rsidR="00EF71BC" w:rsidRPr="00027650">
              <w:t xml:space="preserve"> Also historically known as: 'Connection Standards’, ‘Quality Standards’, ‘Design Standards’, ‘Engineering Standards’ ‘Environmental Standards’, ‘Development Code’ or similar.</w:t>
            </w:r>
          </w:p>
        </w:tc>
      </w:tr>
      <w:tr w:rsidR="00B72F45" w:rsidRPr="006627F4" w14:paraId="68F7365B" w14:textId="77777777" w:rsidTr="00EF71BC">
        <w:trPr>
          <w:cantSplit/>
          <w:trHeight w:val="18"/>
          <w:tblHeader/>
        </w:trPr>
        <w:tc>
          <w:tcPr>
            <w:tcW w:w="1200" w:type="pct"/>
            <w:tcMar>
              <w:top w:w="85" w:type="dxa"/>
              <w:left w:w="85" w:type="dxa"/>
              <w:bottom w:w="85" w:type="dxa"/>
              <w:right w:w="85" w:type="dxa"/>
            </w:tcMar>
          </w:tcPr>
          <w:p w14:paraId="4AFF8688" w14:textId="77777777" w:rsidR="00B72F45" w:rsidRPr="009253DE" w:rsidRDefault="00B72F45" w:rsidP="00114B22">
            <w:pPr>
              <w:pStyle w:val="NTUtabletextBold"/>
            </w:pPr>
            <w:r w:rsidRPr="009253DE">
              <w:t>DN</w:t>
            </w:r>
          </w:p>
        </w:tc>
        <w:tc>
          <w:tcPr>
            <w:tcW w:w="3800" w:type="pct"/>
            <w:gridSpan w:val="2"/>
          </w:tcPr>
          <w:p w14:paraId="47D8F336" w14:textId="77777777" w:rsidR="00B72F45" w:rsidRPr="006627F4" w:rsidRDefault="00B72F45" w:rsidP="00114B22">
            <w:pPr>
              <w:pStyle w:val="NTUtabletext"/>
            </w:pPr>
            <w:r w:rsidRPr="006627F4">
              <w:t>Nominal</w:t>
            </w:r>
            <w:r w:rsidRPr="006627F4">
              <w:rPr>
                <w:spacing w:val="-1"/>
              </w:rPr>
              <w:t xml:space="preserve"> </w:t>
            </w:r>
            <w:r w:rsidRPr="006627F4">
              <w:t>diameter</w:t>
            </w:r>
          </w:p>
        </w:tc>
      </w:tr>
      <w:tr w:rsidR="00E41686" w:rsidRPr="006627F4" w14:paraId="75E64FBE" w14:textId="77777777" w:rsidTr="00EF71BC">
        <w:trPr>
          <w:cantSplit/>
          <w:trHeight w:val="18"/>
          <w:tblHeader/>
        </w:trPr>
        <w:tc>
          <w:tcPr>
            <w:tcW w:w="1200" w:type="pct"/>
            <w:tcMar>
              <w:top w:w="85" w:type="dxa"/>
              <w:left w:w="85" w:type="dxa"/>
              <w:bottom w:w="85" w:type="dxa"/>
              <w:right w:w="85" w:type="dxa"/>
            </w:tcMar>
          </w:tcPr>
          <w:p w14:paraId="6714D36A" w14:textId="77777777" w:rsidR="00E41686" w:rsidRPr="009253DE" w:rsidRDefault="00E41686" w:rsidP="00C82F2A">
            <w:pPr>
              <w:pStyle w:val="NTUtabletextBold"/>
            </w:pPr>
            <w:r>
              <w:t>DOL</w:t>
            </w:r>
          </w:p>
        </w:tc>
        <w:tc>
          <w:tcPr>
            <w:tcW w:w="3800" w:type="pct"/>
            <w:gridSpan w:val="2"/>
          </w:tcPr>
          <w:p w14:paraId="24FF6C31" w14:textId="77777777" w:rsidR="00E41686" w:rsidRPr="006627F4" w:rsidRDefault="00E41686" w:rsidP="00C82F2A">
            <w:pPr>
              <w:pStyle w:val="NTUtabletext"/>
            </w:pPr>
            <w:r>
              <w:t>Direct On Line (motor starter)</w:t>
            </w:r>
          </w:p>
        </w:tc>
      </w:tr>
      <w:tr w:rsidR="004619ED" w:rsidRPr="006627F4" w14:paraId="0A8946B9" w14:textId="77777777" w:rsidTr="00EF71BC">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200" w:type="pct"/>
            <w:tcMar>
              <w:top w:w="85" w:type="dxa"/>
              <w:left w:w="85" w:type="dxa"/>
              <w:bottom w:w="85" w:type="dxa"/>
              <w:right w:w="85" w:type="dxa"/>
            </w:tcMar>
          </w:tcPr>
          <w:p w14:paraId="0ABCC64C" w14:textId="77777777" w:rsidR="004619ED" w:rsidRPr="009253DE" w:rsidRDefault="004619ED" w:rsidP="00C82F2A">
            <w:pPr>
              <w:pStyle w:val="NTUtabletextBold"/>
            </w:pPr>
            <w:r w:rsidRPr="009253DE">
              <w:t>DWSNZ</w:t>
            </w:r>
          </w:p>
        </w:tc>
        <w:tc>
          <w:tcPr>
            <w:tcW w:w="3800" w:type="pct"/>
            <w:gridSpan w:val="2"/>
          </w:tcPr>
          <w:p w14:paraId="070FF727" w14:textId="77777777" w:rsidR="004619ED" w:rsidRPr="006627F4" w:rsidRDefault="004619ED" w:rsidP="00C82F2A">
            <w:pPr>
              <w:pStyle w:val="NTUtabletext"/>
            </w:pPr>
            <w:r w:rsidRPr="006627F4">
              <w:t>Drinking Water Standards for New Zealand</w:t>
            </w:r>
          </w:p>
        </w:tc>
      </w:tr>
      <w:tr w:rsidR="00E41686" w:rsidRPr="006627F4" w14:paraId="386F9BBE" w14:textId="77777777" w:rsidTr="00EF71BC">
        <w:trPr>
          <w:cantSplit/>
          <w:trHeight w:val="18"/>
          <w:tblHeader/>
        </w:trPr>
        <w:tc>
          <w:tcPr>
            <w:tcW w:w="1200" w:type="pct"/>
            <w:tcMar>
              <w:top w:w="85" w:type="dxa"/>
              <w:left w:w="85" w:type="dxa"/>
              <w:bottom w:w="85" w:type="dxa"/>
              <w:right w:w="85" w:type="dxa"/>
            </w:tcMar>
          </w:tcPr>
          <w:p w14:paraId="51FC9474" w14:textId="77777777" w:rsidR="00E41686" w:rsidRPr="009253DE" w:rsidRDefault="00E41686" w:rsidP="00C82F2A">
            <w:pPr>
              <w:pStyle w:val="NTUtabletextBold"/>
            </w:pPr>
            <w:r>
              <w:t>ELV</w:t>
            </w:r>
          </w:p>
        </w:tc>
        <w:tc>
          <w:tcPr>
            <w:tcW w:w="3800" w:type="pct"/>
            <w:gridSpan w:val="2"/>
          </w:tcPr>
          <w:p w14:paraId="61D80CCA" w14:textId="77777777" w:rsidR="00E41686" w:rsidRPr="006627F4" w:rsidRDefault="00E41686" w:rsidP="00C82F2A">
            <w:pPr>
              <w:pStyle w:val="NTUtabletext"/>
            </w:pPr>
            <w:r>
              <w:t>Extra-Low Voltage</w:t>
            </w:r>
          </w:p>
        </w:tc>
      </w:tr>
      <w:tr w:rsidR="00B72F45" w:rsidRPr="006627F4" w14:paraId="2F32F849" w14:textId="77777777" w:rsidTr="00EF71BC">
        <w:trPr>
          <w:cantSplit/>
          <w:trHeight w:val="18"/>
          <w:tblHeader/>
        </w:trPr>
        <w:tc>
          <w:tcPr>
            <w:tcW w:w="1200" w:type="pct"/>
            <w:tcMar>
              <w:top w:w="85" w:type="dxa"/>
              <w:left w:w="85" w:type="dxa"/>
              <w:bottom w:w="85" w:type="dxa"/>
              <w:right w:w="85" w:type="dxa"/>
            </w:tcMar>
          </w:tcPr>
          <w:p w14:paraId="6EED35CB" w14:textId="77777777" w:rsidR="00B72F45" w:rsidRPr="009253DE" w:rsidRDefault="00B72F45" w:rsidP="00114B22">
            <w:pPr>
              <w:pStyle w:val="NTUtabletextBold"/>
            </w:pPr>
            <w:r w:rsidRPr="009253DE">
              <w:t>ESF</w:t>
            </w:r>
          </w:p>
        </w:tc>
        <w:tc>
          <w:tcPr>
            <w:tcW w:w="3800" w:type="pct"/>
            <w:gridSpan w:val="2"/>
          </w:tcPr>
          <w:p w14:paraId="1D35ACCD" w14:textId="7DFDA8A2" w:rsidR="00B72F45" w:rsidRPr="006627F4" w:rsidRDefault="00B72F45" w:rsidP="00114B22">
            <w:pPr>
              <w:pStyle w:val="NTUtabletext"/>
            </w:pPr>
            <w:r w:rsidRPr="006627F4">
              <w:t xml:space="preserve">Engineering </w:t>
            </w:r>
            <w:r w:rsidR="004619ED">
              <w:t>S</w:t>
            </w:r>
            <w:r w:rsidRPr="006627F4">
              <w:t>tandards framework</w:t>
            </w:r>
          </w:p>
        </w:tc>
      </w:tr>
      <w:tr w:rsidR="004619ED" w:rsidRPr="006627F4" w14:paraId="29894A80" w14:textId="77777777" w:rsidTr="00EF71BC">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200" w:type="pct"/>
            <w:tcMar>
              <w:top w:w="85" w:type="dxa"/>
              <w:left w:w="85" w:type="dxa"/>
              <w:bottom w:w="85" w:type="dxa"/>
              <w:right w:w="85" w:type="dxa"/>
            </w:tcMar>
          </w:tcPr>
          <w:p w14:paraId="62286667" w14:textId="77777777" w:rsidR="004619ED" w:rsidRPr="009253DE" w:rsidRDefault="004619ED" w:rsidP="00C82F2A">
            <w:pPr>
              <w:pStyle w:val="NTUtabletextBold"/>
            </w:pPr>
            <w:r w:rsidRPr="009253DE">
              <w:t>FAC</w:t>
            </w:r>
          </w:p>
        </w:tc>
        <w:tc>
          <w:tcPr>
            <w:tcW w:w="3800" w:type="pct"/>
            <w:gridSpan w:val="2"/>
          </w:tcPr>
          <w:p w14:paraId="42ED6D5C" w14:textId="77777777" w:rsidR="004619ED" w:rsidRPr="006627F4" w:rsidRDefault="004619ED" w:rsidP="00C82F2A">
            <w:pPr>
              <w:pStyle w:val="NTUtabletext"/>
            </w:pPr>
            <w:r w:rsidRPr="006627F4">
              <w:t>Free Available Chlorine or Chlorine Residual</w:t>
            </w:r>
          </w:p>
        </w:tc>
      </w:tr>
      <w:tr w:rsidR="00EF71BC" w:rsidRPr="006627F4" w14:paraId="18380C3D" w14:textId="77777777" w:rsidTr="00EF71BC">
        <w:trPr>
          <w:cantSplit/>
          <w:trHeight w:val="18"/>
        </w:trPr>
        <w:tc>
          <w:tcPr>
            <w:tcW w:w="1200" w:type="pct"/>
            <w:tcMar>
              <w:top w:w="85" w:type="dxa"/>
              <w:left w:w="85" w:type="dxa"/>
              <w:bottom w:w="85" w:type="dxa"/>
              <w:right w:w="85" w:type="dxa"/>
            </w:tcMar>
          </w:tcPr>
          <w:p w14:paraId="1BB9218F" w14:textId="77777777" w:rsidR="00EF71BC" w:rsidRPr="00515FC7" w:rsidRDefault="00EF71BC" w:rsidP="00C82F2A">
            <w:pPr>
              <w:pStyle w:val="NTUtabletextBold"/>
            </w:pPr>
            <w:r>
              <w:t>GD</w:t>
            </w:r>
          </w:p>
        </w:tc>
        <w:tc>
          <w:tcPr>
            <w:tcW w:w="3800" w:type="pct"/>
            <w:gridSpan w:val="2"/>
          </w:tcPr>
          <w:p w14:paraId="28491F07" w14:textId="77777777" w:rsidR="00EF71BC" w:rsidRPr="00515FC7" w:rsidRDefault="00EF71BC" w:rsidP="00C82F2A">
            <w:pPr>
              <w:pStyle w:val="NTUtabletext"/>
            </w:pPr>
            <w:r w:rsidRPr="00027650">
              <w:t>Guideline Document. A publication which provides technical and/or design guidance.</w:t>
            </w:r>
          </w:p>
        </w:tc>
      </w:tr>
      <w:tr w:rsidR="00E41686" w:rsidRPr="006627F4" w14:paraId="7813DD3B" w14:textId="77777777" w:rsidTr="00EF71BC">
        <w:trPr>
          <w:cantSplit/>
          <w:trHeight w:val="18"/>
          <w:tblHeader/>
        </w:trPr>
        <w:tc>
          <w:tcPr>
            <w:tcW w:w="1200" w:type="pct"/>
            <w:tcMar>
              <w:top w:w="85" w:type="dxa"/>
              <w:left w:w="85" w:type="dxa"/>
              <w:bottom w:w="85" w:type="dxa"/>
              <w:right w:w="85" w:type="dxa"/>
            </w:tcMar>
          </w:tcPr>
          <w:p w14:paraId="728598CF" w14:textId="77777777" w:rsidR="00E41686" w:rsidRPr="009253DE" w:rsidRDefault="00E41686" w:rsidP="00C82F2A">
            <w:pPr>
              <w:pStyle w:val="NTUtabletextBold"/>
            </w:pPr>
            <w:r>
              <w:t>GPO</w:t>
            </w:r>
          </w:p>
        </w:tc>
        <w:tc>
          <w:tcPr>
            <w:tcW w:w="3800" w:type="pct"/>
            <w:gridSpan w:val="2"/>
          </w:tcPr>
          <w:p w14:paraId="0A4444E6" w14:textId="77777777" w:rsidR="00E41686" w:rsidRPr="006627F4" w:rsidRDefault="00E41686" w:rsidP="00C82F2A">
            <w:pPr>
              <w:pStyle w:val="NTUtabletext"/>
            </w:pPr>
            <w:r>
              <w:t>General Purpose Outlet</w:t>
            </w:r>
          </w:p>
        </w:tc>
      </w:tr>
      <w:tr w:rsidR="00E41686" w:rsidRPr="006627F4" w14:paraId="68F93249" w14:textId="77777777" w:rsidTr="00EF71BC">
        <w:trPr>
          <w:cantSplit/>
          <w:trHeight w:val="18"/>
          <w:tblHeader/>
        </w:trPr>
        <w:tc>
          <w:tcPr>
            <w:tcW w:w="1200" w:type="pct"/>
            <w:tcMar>
              <w:top w:w="85" w:type="dxa"/>
              <w:left w:w="85" w:type="dxa"/>
              <w:bottom w:w="85" w:type="dxa"/>
              <w:right w:w="85" w:type="dxa"/>
            </w:tcMar>
          </w:tcPr>
          <w:p w14:paraId="265AE6A7" w14:textId="77777777" w:rsidR="00E41686" w:rsidRDefault="00E41686" w:rsidP="00C82F2A">
            <w:pPr>
              <w:pStyle w:val="NTUtabletextBold"/>
            </w:pPr>
            <w:r>
              <w:t>H2S</w:t>
            </w:r>
          </w:p>
        </w:tc>
        <w:tc>
          <w:tcPr>
            <w:tcW w:w="3800" w:type="pct"/>
            <w:gridSpan w:val="2"/>
          </w:tcPr>
          <w:p w14:paraId="084F6598" w14:textId="77777777" w:rsidR="00E41686" w:rsidRDefault="00E41686" w:rsidP="00C82F2A">
            <w:pPr>
              <w:pStyle w:val="NTUtabletext"/>
            </w:pPr>
            <w:r>
              <w:t>Hydrogen Sulphide</w:t>
            </w:r>
          </w:p>
        </w:tc>
      </w:tr>
      <w:tr w:rsidR="00B72F45" w:rsidRPr="006627F4" w14:paraId="67A6E78C" w14:textId="77777777" w:rsidTr="00EF71BC">
        <w:trPr>
          <w:cantSplit/>
          <w:trHeight w:val="18"/>
          <w:tblHeader/>
        </w:trPr>
        <w:tc>
          <w:tcPr>
            <w:tcW w:w="1200" w:type="pct"/>
            <w:tcMar>
              <w:top w:w="85" w:type="dxa"/>
              <w:left w:w="85" w:type="dxa"/>
              <w:bottom w:w="85" w:type="dxa"/>
              <w:right w:w="85" w:type="dxa"/>
            </w:tcMar>
          </w:tcPr>
          <w:p w14:paraId="516BCAC1" w14:textId="77777777" w:rsidR="00B72F45" w:rsidRPr="009253DE" w:rsidRDefault="00B72F45" w:rsidP="00114B22">
            <w:pPr>
              <w:pStyle w:val="NTUtabletextBold"/>
            </w:pPr>
            <w:r w:rsidRPr="009253DE">
              <w:t>ha</w:t>
            </w:r>
          </w:p>
        </w:tc>
        <w:tc>
          <w:tcPr>
            <w:tcW w:w="3800" w:type="pct"/>
            <w:gridSpan w:val="2"/>
          </w:tcPr>
          <w:p w14:paraId="2F4E3DD5" w14:textId="77777777" w:rsidR="00B72F45" w:rsidRPr="006627F4" w:rsidRDefault="00B72F45" w:rsidP="00114B22">
            <w:pPr>
              <w:pStyle w:val="NTUtabletext"/>
            </w:pPr>
            <w:r w:rsidRPr="006627F4">
              <w:t>hectare</w:t>
            </w:r>
          </w:p>
        </w:tc>
      </w:tr>
      <w:tr w:rsidR="004619ED" w:rsidRPr="006627F4" w14:paraId="7BDAC153" w14:textId="77777777" w:rsidTr="00EF71BC">
        <w:trPr>
          <w:cantSplit/>
          <w:trHeight w:val="18"/>
          <w:tblHeader/>
        </w:trPr>
        <w:tc>
          <w:tcPr>
            <w:tcW w:w="1200" w:type="pct"/>
            <w:tcMar>
              <w:top w:w="85" w:type="dxa"/>
              <w:left w:w="85" w:type="dxa"/>
              <w:bottom w:w="85" w:type="dxa"/>
              <w:right w:w="85" w:type="dxa"/>
            </w:tcMar>
          </w:tcPr>
          <w:p w14:paraId="5511F193" w14:textId="77777777" w:rsidR="004619ED" w:rsidRPr="009253DE" w:rsidRDefault="004619ED" w:rsidP="00C82F2A">
            <w:pPr>
              <w:pStyle w:val="NTUtabletextBold"/>
            </w:pPr>
            <w:r w:rsidRPr="009253DE">
              <w:lastRenderedPageBreak/>
              <w:t>HGL</w:t>
            </w:r>
          </w:p>
        </w:tc>
        <w:tc>
          <w:tcPr>
            <w:tcW w:w="3800" w:type="pct"/>
            <w:gridSpan w:val="2"/>
          </w:tcPr>
          <w:p w14:paraId="2C6D657A" w14:textId="77777777" w:rsidR="004619ED" w:rsidRPr="006627F4" w:rsidRDefault="004619ED" w:rsidP="00C82F2A">
            <w:pPr>
              <w:pStyle w:val="NTUtabletext"/>
            </w:pPr>
            <w:r w:rsidRPr="006627F4">
              <w:t>Hydraulic grade</w:t>
            </w:r>
            <w:r w:rsidRPr="006627F4">
              <w:rPr>
                <w:spacing w:val="-2"/>
              </w:rPr>
              <w:t xml:space="preserve"> </w:t>
            </w:r>
            <w:r w:rsidRPr="006627F4">
              <w:t>level</w:t>
            </w:r>
          </w:p>
        </w:tc>
      </w:tr>
      <w:tr w:rsidR="00E41686" w:rsidRPr="006627F4" w14:paraId="352A0094" w14:textId="77777777" w:rsidTr="00EF71BC">
        <w:trPr>
          <w:cantSplit/>
          <w:trHeight w:val="18"/>
          <w:tblHeader/>
        </w:trPr>
        <w:tc>
          <w:tcPr>
            <w:tcW w:w="1200" w:type="pct"/>
            <w:tcMar>
              <w:top w:w="85" w:type="dxa"/>
              <w:left w:w="85" w:type="dxa"/>
              <w:bottom w:w="85" w:type="dxa"/>
              <w:right w:w="85" w:type="dxa"/>
            </w:tcMar>
          </w:tcPr>
          <w:p w14:paraId="7B1D287D" w14:textId="77777777" w:rsidR="00E41686" w:rsidRPr="009253DE" w:rsidRDefault="00E41686" w:rsidP="00C82F2A">
            <w:pPr>
              <w:pStyle w:val="NTUtabletextBold"/>
            </w:pPr>
            <w:r>
              <w:t>Hz</w:t>
            </w:r>
          </w:p>
        </w:tc>
        <w:tc>
          <w:tcPr>
            <w:tcW w:w="3800" w:type="pct"/>
            <w:gridSpan w:val="2"/>
          </w:tcPr>
          <w:p w14:paraId="28A74C61" w14:textId="77777777" w:rsidR="00E41686" w:rsidRPr="006627F4" w:rsidRDefault="00E41686" w:rsidP="00C82F2A">
            <w:pPr>
              <w:pStyle w:val="NTUtabletext"/>
            </w:pPr>
            <w:r>
              <w:t>Hertz</w:t>
            </w:r>
          </w:p>
        </w:tc>
      </w:tr>
      <w:tr w:rsidR="00E41686" w:rsidRPr="006627F4" w14:paraId="2446EE08" w14:textId="77777777" w:rsidTr="00EF71BC">
        <w:trPr>
          <w:cantSplit/>
          <w:trHeight w:val="18"/>
          <w:tblHeader/>
        </w:trPr>
        <w:tc>
          <w:tcPr>
            <w:tcW w:w="1200" w:type="pct"/>
            <w:tcMar>
              <w:top w:w="85" w:type="dxa"/>
              <w:left w:w="85" w:type="dxa"/>
              <w:bottom w:w="85" w:type="dxa"/>
              <w:right w:w="85" w:type="dxa"/>
            </w:tcMar>
          </w:tcPr>
          <w:p w14:paraId="1140137C" w14:textId="77777777" w:rsidR="00E41686" w:rsidRPr="009253DE" w:rsidRDefault="00E41686" w:rsidP="00C82F2A">
            <w:pPr>
              <w:pStyle w:val="NTUtabletextBold"/>
            </w:pPr>
            <w:r>
              <w:t>IEC</w:t>
            </w:r>
          </w:p>
        </w:tc>
        <w:tc>
          <w:tcPr>
            <w:tcW w:w="3800" w:type="pct"/>
            <w:gridSpan w:val="2"/>
          </w:tcPr>
          <w:p w14:paraId="6238489F" w14:textId="77777777" w:rsidR="00E41686" w:rsidRPr="006627F4" w:rsidRDefault="00E41686" w:rsidP="00C82F2A">
            <w:pPr>
              <w:pStyle w:val="NTUtabletext"/>
            </w:pPr>
            <w:r w:rsidRPr="0068520B">
              <w:t>International Electrotechnical Commission</w:t>
            </w:r>
          </w:p>
        </w:tc>
      </w:tr>
      <w:tr w:rsidR="004619ED" w:rsidRPr="006627F4" w14:paraId="1C43D325" w14:textId="77777777" w:rsidTr="00EF71BC">
        <w:trPr>
          <w:cantSplit/>
          <w:trHeight w:val="18"/>
          <w:tblHeader/>
        </w:trPr>
        <w:tc>
          <w:tcPr>
            <w:tcW w:w="1200" w:type="pct"/>
            <w:tcMar>
              <w:top w:w="85" w:type="dxa"/>
              <w:left w:w="85" w:type="dxa"/>
              <w:bottom w:w="85" w:type="dxa"/>
              <w:right w:w="85" w:type="dxa"/>
            </w:tcMar>
          </w:tcPr>
          <w:p w14:paraId="12377C59" w14:textId="77777777" w:rsidR="004619ED" w:rsidRPr="009253DE" w:rsidRDefault="004619ED" w:rsidP="00C82F2A">
            <w:pPr>
              <w:pStyle w:val="NTUtabletextBold"/>
            </w:pPr>
            <w:r w:rsidRPr="009253DE">
              <w:t>IQP</w:t>
            </w:r>
          </w:p>
        </w:tc>
        <w:tc>
          <w:tcPr>
            <w:tcW w:w="3800" w:type="pct"/>
            <w:gridSpan w:val="2"/>
          </w:tcPr>
          <w:p w14:paraId="75AA2B16" w14:textId="77777777" w:rsidR="004619ED" w:rsidRPr="006627F4" w:rsidRDefault="004619ED" w:rsidP="00C82F2A">
            <w:pPr>
              <w:pStyle w:val="NTUtabletext"/>
            </w:pPr>
            <w:r w:rsidRPr="006627F4">
              <w:t>Independent qualified person</w:t>
            </w:r>
          </w:p>
        </w:tc>
      </w:tr>
      <w:tr w:rsidR="004619ED" w:rsidRPr="006627F4" w14:paraId="0DE3DC65" w14:textId="77777777" w:rsidTr="00EF71BC">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200" w:type="pct"/>
            <w:tcMar>
              <w:top w:w="85" w:type="dxa"/>
              <w:left w:w="85" w:type="dxa"/>
              <w:bottom w:w="85" w:type="dxa"/>
              <w:right w:w="85" w:type="dxa"/>
            </w:tcMar>
          </w:tcPr>
          <w:p w14:paraId="751C781F" w14:textId="77777777" w:rsidR="004619ED" w:rsidRPr="009253DE" w:rsidRDefault="004619ED" w:rsidP="00C82F2A">
            <w:pPr>
              <w:pStyle w:val="NTUtabletextBold"/>
            </w:pPr>
            <w:r w:rsidRPr="009253DE">
              <w:t>kPa</w:t>
            </w:r>
          </w:p>
        </w:tc>
        <w:tc>
          <w:tcPr>
            <w:tcW w:w="3800" w:type="pct"/>
            <w:gridSpan w:val="2"/>
          </w:tcPr>
          <w:p w14:paraId="60393645" w14:textId="77777777" w:rsidR="004619ED" w:rsidRPr="006627F4" w:rsidRDefault="004619ED" w:rsidP="00C82F2A">
            <w:pPr>
              <w:pStyle w:val="NTUtabletext"/>
            </w:pPr>
            <w:r w:rsidRPr="006627F4">
              <w:t>Kilo Pascal</w:t>
            </w:r>
          </w:p>
        </w:tc>
      </w:tr>
      <w:tr w:rsidR="00E41686" w:rsidRPr="006627F4" w14:paraId="62577D4A" w14:textId="77777777" w:rsidTr="00EF71BC">
        <w:trPr>
          <w:cantSplit/>
          <w:trHeight w:val="18"/>
          <w:tblHeader/>
        </w:trPr>
        <w:tc>
          <w:tcPr>
            <w:tcW w:w="1200" w:type="pct"/>
            <w:tcMar>
              <w:top w:w="85" w:type="dxa"/>
              <w:left w:w="85" w:type="dxa"/>
              <w:bottom w:w="85" w:type="dxa"/>
              <w:right w:w="85" w:type="dxa"/>
            </w:tcMar>
          </w:tcPr>
          <w:p w14:paraId="3C1DADAC" w14:textId="77777777" w:rsidR="00E41686" w:rsidRPr="009253DE" w:rsidRDefault="00E41686" w:rsidP="00C82F2A">
            <w:pPr>
              <w:pStyle w:val="NTUtabletextBold"/>
            </w:pPr>
            <w:r>
              <w:t>kV</w:t>
            </w:r>
          </w:p>
        </w:tc>
        <w:tc>
          <w:tcPr>
            <w:tcW w:w="3800" w:type="pct"/>
            <w:gridSpan w:val="2"/>
          </w:tcPr>
          <w:p w14:paraId="599C7593" w14:textId="77777777" w:rsidR="00E41686" w:rsidRPr="006627F4" w:rsidRDefault="00E41686" w:rsidP="00C82F2A">
            <w:pPr>
              <w:pStyle w:val="NTUtabletext"/>
            </w:pPr>
            <w:r>
              <w:t>Kilovolts</w:t>
            </w:r>
          </w:p>
        </w:tc>
      </w:tr>
      <w:tr w:rsidR="00E41686" w:rsidRPr="006627F4" w14:paraId="55179A4B" w14:textId="77777777" w:rsidTr="00EF71BC">
        <w:trPr>
          <w:cantSplit/>
          <w:trHeight w:val="18"/>
          <w:tblHeader/>
        </w:trPr>
        <w:tc>
          <w:tcPr>
            <w:tcW w:w="1200" w:type="pct"/>
            <w:tcMar>
              <w:top w:w="85" w:type="dxa"/>
              <w:left w:w="85" w:type="dxa"/>
              <w:bottom w:w="85" w:type="dxa"/>
              <w:right w:w="85" w:type="dxa"/>
            </w:tcMar>
          </w:tcPr>
          <w:p w14:paraId="4125A5DC" w14:textId="77777777" w:rsidR="00E41686" w:rsidRPr="009253DE" w:rsidRDefault="00E41686" w:rsidP="00C82F2A">
            <w:pPr>
              <w:pStyle w:val="NTUtabletextBold"/>
            </w:pPr>
            <w:r>
              <w:t>kVA</w:t>
            </w:r>
          </w:p>
        </w:tc>
        <w:tc>
          <w:tcPr>
            <w:tcW w:w="3800" w:type="pct"/>
            <w:gridSpan w:val="2"/>
          </w:tcPr>
          <w:p w14:paraId="5C58C8AE" w14:textId="77777777" w:rsidR="00E41686" w:rsidRPr="006627F4" w:rsidRDefault="00E41686" w:rsidP="00C82F2A">
            <w:pPr>
              <w:pStyle w:val="NTUtabletext"/>
            </w:pPr>
            <w:r>
              <w:t>Kilovolt-Amperes</w:t>
            </w:r>
          </w:p>
        </w:tc>
      </w:tr>
      <w:tr w:rsidR="00E41686" w:rsidRPr="006627F4" w14:paraId="30B64887" w14:textId="77777777" w:rsidTr="00EF71BC">
        <w:trPr>
          <w:gridAfter w:val="1"/>
          <w:wAfter w:w="4" w:type="pct"/>
          <w:cantSplit/>
          <w:trHeight w:val="18"/>
          <w:tblHeader/>
        </w:trPr>
        <w:tc>
          <w:tcPr>
            <w:tcW w:w="1200" w:type="pct"/>
            <w:tcMar>
              <w:top w:w="85" w:type="dxa"/>
              <w:left w:w="85" w:type="dxa"/>
              <w:bottom w:w="85" w:type="dxa"/>
              <w:right w:w="85" w:type="dxa"/>
            </w:tcMar>
          </w:tcPr>
          <w:p w14:paraId="49A56F30" w14:textId="77777777" w:rsidR="00E41686" w:rsidRPr="009253DE" w:rsidRDefault="00E41686" w:rsidP="00C82F2A">
            <w:pPr>
              <w:pStyle w:val="NTUtabletextBold"/>
            </w:pPr>
            <w:r>
              <w:t>kW</w:t>
            </w:r>
          </w:p>
        </w:tc>
        <w:tc>
          <w:tcPr>
            <w:tcW w:w="3796" w:type="pct"/>
          </w:tcPr>
          <w:p w14:paraId="6AA756B5" w14:textId="77777777" w:rsidR="00E41686" w:rsidRPr="006627F4" w:rsidRDefault="00E41686" w:rsidP="00C82F2A">
            <w:pPr>
              <w:pStyle w:val="NTUtabletext"/>
            </w:pPr>
            <w:r>
              <w:t>Kilowatts</w:t>
            </w:r>
          </w:p>
        </w:tc>
      </w:tr>
      <w:tr w:rsidR="004619ED" w:rsidRPr="006627F4" w14:paraId="08E4A2DB" w14:textId="77777777" w:rsidTr="00EF71BC">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200" w:type="pct"/>
            <w:tcMar>
              <w:top w:w="85" w:type="dxa"/>
              <w:left w:w="85" w:type="dxa"/>
              <w:bottom w:w="85" w:type="dxa"/>
              <w:right w:w="85" w:type="dxa"/>
            </w:tcMar>
          </w:tcPr>
          <w:p w14:paraId="74324431" w14:textId="77777777" w:rsidR="004619ED" w:rsidRPr="009253DE" w:rsidRDefault="004619ED" w:rsidP="00C82F2A">
            <w:pPr>
              <w:pStyle w:val="NTUtabletextBold"/>
            </w:pPr>
            <w:r w:rsidRPr="009253DE">
              <w:t>L or l</w:t>
            </w:r>
          </w:p>
        </w:tc>
        <w:tc>
          <w:tcPr>
            <w:tcW w:w="3800" w:type="pct"/>
            <w:gridSpan w:val="2"/>
          </w:tcPr>
          <w:p w14:paraId="476F0376" w14:textId="77777777" w:rsidR="004619ED" w:rsidRPr="006627F4" w:rsidRDefault="004619ED" w:rsidP="00C82F2A">
            <w:pPr>
              <w:pStyle w:val="NTUtabletext"/>
            </w:pPr>
            <w:r w:rsidRPr="006627F4">
              <w:t>Litre</w:t>
            </w:r>
          </w:p>
        </w:tc>
      </w:tr>
      <w:tr w:rsidR="00B72F45" w:rsidRPr="006627F4" w14:paraId="192BC0A6" w14:textId="77777777" w:rsidTr="00EF71BC">
        <w:trPr>
          <w:cantSplit/>
          <w:trHeight w:val="18"/>
          <w:tblHeader/>
        </w:trPr>
        <w:tc>
          <w:tcPr>
            <w:tcW w:w="1200" w:type="pct"/>
            <w:tcMar>
              <w:top w:w="85" w:type="dxa"/>
              <w:left w:w="85" w:type="dxa"/>
              <w:bottom w:w="85" w:type="dxa"/>
              <w:right w:w="85" w:type="dxa"/>
            </w:tcMar>
          </w:tcPr>
          <w:p w14:paraId="090DD787" w14:textId="77777777" w:rsidR="00B72F45" w:rsidRPr="009253DE" w:rsidRDefault="00B72F45" w:rsidP="00114B22">
            <w:pPr>
              <w:pStyle w:val="NTUtabletextBold"/>
            </w:pPr>
            <w:r w:rsidRPr="009253DE">
              <w:t>L/d</w:t>
            </w:r>
          </w:p>
        </w:tc>
        <w:tc>
          <w:tcPr>
            <w:tcW w:w="3800" w:type="pct"/>
            <w:gridSpan w:val="2"/>
          </w:tcPr>
          <w:p w14:paraId="73121E92" w14:textId="77777777" w:rsidR="00B72F45" w:rsidRPr="006627F4" w:rsidRDefault="00B72F45" w:rsidP="00114B22">
            <w:pPr>
              <w:pStyle w:val="NTUtabletext"/>
            </w:pPr>
            <w:r w:rsidRPr="006627F4">
              <w:t>Litres per day</w:t>
            </w:r>
          </w:p>
        </w:tc>
      </w:tr>
      <w:tr w:rsidR="00B72F45" w:rsidRPr="006627F4" w14:paraId="73D567DB" w14:textId="77777777" w:rsidTr="00EF71BC">
        <w:trPr>
          <w:cantSplit/>
          <w:trHeight w:val="18"/>
          <w:tblHeader/>
        </w:trPr>
        <w:tc>
          <w:tcPr>
            <w:tcW w:w="1200" w:type="pct"/>
            <w:tcMar>
              <w:top w:w="85" w:type="dxa"/>
              <w:left w:w="85" w:type="dxa"/>
              <w:bottom w:w="85" w:type="dxa"/>
              <w:right w:w="85" w:type="dxa"/>
            </w:tcMar>
          </w:tcPr>
          <w:p w14:paraId="3E8A72A7" w14:textId="77777777" w:rsidR="00B72F45" w:rsidRPr="009253DE" w:rsidRDefault="00B72F45" w:rsidP="00114B22">
            <w:pPr>
              <w:pStyle w:val="NTUtabletextBold"/>
            </w:pPr>
            <w:r w:rsidRPr="009253DE">
              <w:t>L/p/d</w:t>
            </w:r>
          </w:p>
        </w:tc>
        <w:tc>
          <w:tcPr>
            <w:tcW w:w="3800" w:type="pct"/>
            <w:gridSpan w:val="2"/>
          </w:tcPr>
          <w:p w14:paraId="605D3C0B" w14:textId="77777777" w:rsidR="00B72F45" w:rsidRPr="006627F4" w:rsidRDefault="00B72F45" w:rsidP="00114B22">
            <w:pPr>
              <w:pStyle w:val="NTUtabletext"/>
            </w:pPr>
            <w:r w:rsidRPr="006627F4">
              <w:t>Litres per person per</w:t>
            </w:r>
            <w:r w:rsidRPr="006627F4">
              <w:rPr>
                <w:spacing w:val="1"/>
              </w:rPr>
              <w:t xml:space="preserve"> </w:t>
            </w:r>
            <w:r w:rsidRPr="006627F4">
              <w:t>day</w:t>
            </w:r>
          </w:p>
        </w:tc>
      </w:tr>
      <w:tr w:rsidR="00B72F45" w:rsidRPr="006627F4" w14:paraId="1776129E" w14:textId="77777777" w:rsidTr="00EF71BC">
        <w:trPr>
          <w:cantSplit/>
          <w:trHeight w:val="18"/>
          <w:tblHeader/>
        </w:trPr>
        <w:tc>
          <w:tcPr>
            <w:tcW w:w="1200" w:type="pct"/>
            <w:tcMar>
              <w:top w:w="85" w:type="dxa"/>
              <w:left w:w="85" w:type="dxa"/>
              <w:bottom w:w="85" w:type="dxa"/>
              <w:right w:w="85" w:type="dxa"/>
            </w:tcMar>
          </w:tcPr>
          <w:p w14:paraId="5CFE320B" w14:textId="7107F87F" w:rsidR="00B72F45" w:rsidRPr="009253DE" w:rsidRDefault="00B72F45" w:rsidP="00114B22">
            <w:pPr>
              <w:pStyle w:val="NTUtabletextBold"/>
            </w:pPr>
            <w:r w:rsidRPr="009253DE">
              <w:t>L/m²/d</w:t>
            </w:r>
          </w:p>
        </w:tc>
        <w:tc>
          <w:tcPr>
            <w:tcW w:w="3800" w:type="pct"/>
            <w:gridSpan w:val="2"/>
          </w:tcPr>
          <w:p w14:paraId="1ED2C902" w14:textId="77777777" w:rsidR="00B72F45" w:rsidRPr="006627F4" w:rsidRDefault="00B72F45" w:rsidP="00114B22">
            <w:pPr>
              <w:pStyle w:val="NTUtabletext"/>
            </w:pPr>
            <w:r w:rsidRPr="006627F4">
              <w:t>Litres per square metre area per day</w:t>
            </w:r>
          </w:p>
        </w:tc>
      </w:tr>
      <w:tr w:rsidR="00B72F45" w:rsidRPr="006627F4" w14:paraId="07C409EA" w14:textId="77777777" w:rsidTr="00EF71BC">
        <w:trPr>
          <w:cantSplit/>
          <w:trHeight w:val="18"/>
          <w:tblHeader/>
        </w:trPr>
        <w:tc>
          <w:tcPr>
            <w:tcW w:w="1200" w:type="pct"/>
            <w:tcMar>
              <w:top w:w="85" w:type="dxa"/>
              <w:left w:w="85" w:type="dxa"/>
              <w:bottom w:w="85" w:type="dxa"/>
              <w:right w:w="85" w:type="dxa"/>
            </w:tcMar>
          </w:tcPr>
          <w:p w14:paraId="27B4F66A" w14:textId="77777777" w:rsidR="00B72F45" w:rsidRPr="009253DE" w:rsidRDefault="00B72F45" w:rsidP="00114B22">
            <w:pPr>
              <w:pStyle w:val="NTUtabletextBold"/>
            </w:pPr>
            <w:r w:rsidRPr="009253DE">
              <w:t>L/s</w:t>
            </w:r>
          </w:p>
        </w:tc>
        <w:tc>
          <w:tcPr>
            <w:tcW w:w="3800" w:type="pct"/>
            <w:gridSpan w:val="2"/>
          </w:tcPr>
          <w:p w14:paraId="645E1121" w14:textId="77777777" w:rsidR="00B72F45" w:rsidRPr="006627F4" w:rsidRDefault="00B72F45" w:rsidP="00114B22">
            <w:pPr>
              <w:pStyle w:val="NTUtabletext"/>
            </w:pPr>
            <w:r w:rsidRPr="006627F4">
              <w:t>Litres per second</w:t>
            </w:r>
          </w:p>
        </w:tc>
      </w:tr>
      <w:tr w:rsidR="00E41686" w:rsidRPr="006627F4" w14:paraId="7185B248" w14:textId="77777777" w:rsidTr="00EF71BC">
        <w:trPr>
          <w:gridAfter w:val="1"/>
          <w:wAfter w:w="4" w:type="pct"/>
          <w:cantSplit/>
          <w:trHeight w:val="18"/>
          <w:tblHeader/>
        </w:trPr>
        <w:tc>
          <w:tcPr>
            <w:tcW w:w="1200" w:type="pct"/>
            <w:tcMar>
              <w:top w:w="85" w:type="dxa"/>
              <w:left w:w="85" w:type="dxa"/>
              <w:bottom w:w="85" w:type="dxa"/>
              <w:right w:w="85" w:type="dxa"/>
            </w:tcMar>
          </w:tcPr>
          <w:p w14:paraId="1A0C2304" w14:textId="77777777" w:rsidR="00E41686" w:rsidRPr="009253DE" w:rsidRDefault="00E41686" w:rsidP="00C82F2A">
            <w:pPr>
              <w:pStyle w:val="NTUtabletextBold"/>
            </w:pPr>
            <w:r>
              <w:t>LV</w:t>
            </w:r>
          </w:p>
        </w:tc>
        <w:tc>
          <w:tcPr>
            <w:tcW w:w="3796" w:type="pct"/>
          </w:tcPr>
          <w:p w14:paraId="5EA816F6" w14:textId="77777777" w:rsidR="00E41686" w:rsidRPr="006627F4" w:rsidRDefault="00E41686" w:rsidP="00C82F2A">
            <w:pPr>
              <w:pStyle w:val="NTUtabletext"/>
            </w:pPr>
            <w:r>
              <w:t>Low-Voltage</w:t>
            </w:r>
          </w:p>
        </w:tc>
      </w:tr>
    </w:tbl>
    <w:p w14:paraId="13D85409" w14:textId="6E84EA31" w:rsidR="00D82480" w:rsidRDefault="00D82480"/>
    <w:tbl>
      <w:tblPr>
        <w:tblW w:w="5006" w:type="pct"/>
        <w:tblInd w:w="-5" w:type="dxa"/>
        <w:tblBorders>
          <w:top w:val="single" w:sz="4" w:space="0" w:color="293171"/>
          <w:left w:val="single" w:sz="4" w:space="0" w:color="293171"/>
          <w:bottom w:val="single" w:sz="4" w:space="0" w:color="293171"/>
          <w:right w:val="single" w:sz="4" w:space="0" w:color="293171"/>
          <w:insideH w:val="single" w:sz="4" w:space="0" w:color="293171"/>
          <w:insideV w:val="single" w:sz="4" w:space="0" w:color="293171"/>
        </w:tblBorders>
        <w:tblLook w:val="0400" w:firstRow="0" w:lastRow="0" w:firstColumn="0" w:lastColumn="0" w:noHBand="0" w:noVBand="1"/>
      </w:tblPr>
      <w:tblGrid>
        <w:gridCol w:w="2167"/>
        <w:gridCol w:w="6853"/>
        <w:gridCol w:w="7"/>
      </w:tblGrid>
      <w:tr w:rsidR="00B72F45" w:rsidRPr="006627F4" w14:paraId="486AD096" w14:textId="77777777" w:rsidTr="00EF71BC">
        <w:trPr>
          <w:cantSplit/>
          <w:trHeight w:val="18"/>
          <w:tblHeader/>
        </w:trPr>
        <w:tc>
          <w:tcPr>
            <w:tcW w:w="1200" w:type="pct"/>
            <w:tcMar>
              <w:top w:w="85" w:type="dxa"/>
              <w:left w:w="85" w:type="dxa"/>
              <w:bottom w:w="85" w:type="dxa"/>
              <w:right w:w="85" w:type="dxa"/>
            </w:tcMar>
          </w:tcPr>
          <w:p w14:paraId="2EC30544" w14:textId="1923F514" w:rsidR="00B72F45" w:rsidRPr="009253DE" w:rsidRDefault="00D82480" w:rsidP="00114B22">
            <w:pPr>
              <w:pStyle w:val="NTUtabletextBold"/>
            </w:pPr>
            <w:r>
              <w:t>m</w:t>
            </w:r>
          </w:p>
        </w:tc>
        <w:tc>
          <w:tcPr>
            <w:tcW w:w="3800" w:type="pct"/>
            <w:gridSpan w:val="2"/>
          </w:tcPr>
          <w:p w14:paraId="0AADCBA9" w14:textId="77777777" w:rsidR="00B72F45" w:rsidRPr="006627F4" w:rsidRDefault="00B72F45" w:rsidP="00114B22">
            <w:pPr>
              <w:pStyle w:val="NTUtabletext"/>
              <w:rPr>
                <w:lang w:eastAsia="en-NZ" w:bidi="en-NZ"/>
              </w:rPr>
            </w:pPr>
            <w:r w:rsidRPr="006627F4">
              <w:rPr>
                <w:lang w:eastAsia="en-NZ" w:bidi="en-NZ"/>
              </w:rPr>
              <w:t>metre</w:t>
            </w:r>
          </w:p>
        </w:tc>
      </w:tr>
      <w:tr w:rsidR="00B72F45" w:rsidRPr="006627F4" w14:paraId="0D471DF4" w14:textId="77777777" w:rsidTr="00EF71BC">
        <w:trPr>
          <w:cantSplit/>
          <w:trHeight w:val="18"/>
          <w:tblHeader/>
        </w:trPr>
        <w:tc>
          <w:tcPr>
            <w:tcW w:w="1200" w:type="pct"/>
            <w:tcMar>
              <w:top w:w="85" w:type="dxa"/>
              <w:left w:w="85" w:type="dxa"/>
              <w:bottom w:w="85" w:type="dxa"/>
              <w:right w:w="85" w:type="dxa"/>
            </w:tcMar>
          </w:tcPr>
          <w:p w14:paraId="44D0DB31" w14:textId="77777777" w:rsidR="00B72F45" w:rsidRPr="009253DE" w:rsidRDefault="00B72F45" w:rsidP="00114B22">
            <w:pPr>
              <w:pStyle w:val="NTUtabletextBold"/>
            </w:pPr>
            <w:r w:rsidRPr="009253DE">
              <w:t>m</w:t>
            </w:r>
            <w:r w:rsidRPr="009253DE">
              <w:rPr>
                <w:vertAlign w:val="superscript"/>
              </w:rPr>
              <w:t>2</w:t>
            </w:r>
          </w:p>
        </w:tc>
        <w:tc>
          <w:tcPr>
            <w:tcW w:w="3800" w:type="pct"/>
            <w:gridSpan w:val="2"/>
          </w:tcPr>
          <w:p w14:paraId="1B75B255" w14:textId="77777777" w:rsidR="00B72F45" w:rsidRPr="006627F4" w:rsidRDefault="00B72F45" w:rsidP="00114B22">
            <w:pPr>
              <w:pStyle w:val="NTUtabletext"/>
            </w:pPr>
            <w:r w:rsidRPr="006627F4">
              <w:t>square metre</w:t>
            </w:r>
            <w:r w:rsidRPr="006627F4">
              <w:rPr>
                <w:spacing w:val="-3"/>
              </w:rPr>
              <w:t xml:space="preserve"> </w:t>
            </w:r>
            <w:r w:rsidRPr="006627F4">
              <w:t>(area)</w:t>
            </w:r>
          </w:p>
        </w:tc>
      </w:tr>
      <w:tr w:rsidR="00E41686" w:rsidRPr="006627F4" w14:paraId="024E23ED" w14:textId="77777777" w:rsidTr="00E41686">
        <w:trPr>
          <w:gridAfter w:val="1"/>
          <w:wAfter w:w="4" w:type="pct"/>
          <w:cantSplit/>
          <w:trHeight w:val="18"/>
          <w:tblHeader/>
        </w:trPr>
        <w:tc>
          <w:tcPr>
            <w:tcW w:w="1200" w:type="pct"/>
            <w:tcMar>
              <w:top w:w="85" w:type="dxa"/>
              <w:left w:w="85" w:type="dxa"/>
              <w:bottom w:w="85" w:type="dxa"/>
              <w:right w:w="85" w:type="dxa"/>
            </w:tcMar>
          </w:tcPr>
          <w:p w14:paraId="5A99FAD7" w14:textId="77777777" w:rsidR="00E41686" w:rsidRPr="009253DE" w:rsidRDefault="00E41686" w:rsidP="00C82F2A">
            <w:pPr>
              <w:pStyle w:val="NTUtabletextBold"/>
            </w:pPr>
            <w:r>
              <w:t>mA</w:t>
            </w:r>
          </w:p>
        </w:tc>
        <w:tc>
          <w:tcPr>
            <w:tcW w:w="3796" w:type="pct"/>
          </w:tcPr>
          <w:p w14:paraId="6038E8F7" w14:textId="77777777" w:rsidR="00E41686" w:rsidRPr="006627F4" w:rsidRDefault="00E41686" w:rsidP="00C82F2A">
            <w:pPr>
              <w:pStyle w:val="NTUtabletext"/>
            </w:pPr>
            <w:r>
              <w:t>Milliampere</w:t>
            </w:r>
          </w:p>
        </w:tc>
      </w:tr>
      <w:tr w:rsidR="00E41686" w:rsidRPr="006627F4" w14:paraId="372E8CAE" w14:textId="77777777" w:rsidTr="00E41686">
        <w:trPr>
          <w:gridAfter w:val="1"/>
          <w:wAfter w:w="4" w:type="pct"/>
          <w:cantSplit/>
          <w:trHeight w:val="18"/>
          <w:tblHeader/>
        </w:trPr>
        <w:tc>
          <w:tcPr>
            <w:tcW w:w="1200" w:type="pct"/>
            <w:tcMar>
              <w:top w:w="85" w:type="dxa"/>
              <w:left w:w="85" w:type="dxa"/>
              <w:bottom w:w="85" w:type="dxa"/>
              <w:right w:w="85" w:type="dxa"/>
            </w:tcMar>
          </w:tcPr>
          <w:p w14:paraId="78D66604" w14:textId="77777777" w:rsidR="00E41686" w:rsidRPr="009253DE" w:rsidRDefault="00E41686" w:rsidP="00C82F2A">
            <w:pPr>
              <w:pStyle w:val="NTUtabletextBold"/>
            </w:pPr>
            <w:r>
              <w:t>MEN</w:t>
            </w:r>
          </w:p>
        </w:tc>
        <w:tc>
          <w:tcPr>
            <w:tcW w:w="3796" w:type="pct"/>
          </w:tcPr>
          <w:p w14:paraId="5414A5EE" w14:textId="77777777" w:rsidR="00E41686" w:rsidRPr="006627F4" w:rsidRDefault="00E41686" w:rsidP="00C82F2A">
            <w:pPr>
              <w:pStyle w:val="NTUtabletext"/>
            </w:pPr>
            <w:r>
              <w:t>Multiple-earthed Neutral (system)</w:t>
            </w:r>
          </w:p>
        </w:tc>
      </w:tr>
      <w:tr w:rsidR="004619ED" w:rsidRPr="006627F4" w14:paraId="26084ED3" w14:textId="77777777" w:rsidTr="00E41686">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200" w:type="pct"/>
            <w:tcMar>
              <w:top w:w="85" w:type="dxa"/>
              <w:left w:w="85" w:type="dxa"/>
              <w:bottom w:w="85" w:type="dxa"/>
              <w:right w:w="85" w:type="dxa"/>
            </w:tcMar>
          </w:tcPr>
          <w:p w14:paraId="68E205AB" w14:textId="2F881A57" w:rsidR="004619ED" w:rsidRPr="009253DE" w:rsidRDefault="004619ED" w:rsidP="00C82F2A">
            <w:pPr>
              <w:pStyle w:val="NTUtabletextBold"/>
            </w:pPr>
            <w:r w:rsidRPr="009253DE">
              <w:t>mg/L</w:t>
            </w:r>
          </w:p>
        </w:tc>
        <w:tc>
          <w:tcPr>
            <w:tcW w:w="3800" w:type="pct"/>
            <w:gridSpan w:val="2"/>
          </w:tcPr>
          <w:p w14:paraId="42007153" w14:textId="77777777" w:rsidR="004619ED" w:rsidRPr="006627F4" w:rsidRDefault="004619ED" w:rsidP="00C82F2A">
            <w:pPr>
              <w:pStyle w:val="NTUtabletext"/>
              <w:rPr>
                <w:lang w:eastAsia="en-NZ" w:bidi="en-NZ"/>
              </w:rPr>
            </w:pPr>
            <w:r w:rsidRPr="006627F4">
              <w:rPr>
                <w:lang w:eastAsia="en-NZ" w:bidi="en-NZ"/>
              </w:rPr>
              <w:t>Milligrams per litre (equivalent to ppm)</w:t>
            </w:r>
          </w:p>
        </w:tc>
      </w:tr>
      <w:tr w:rsidR="004619ED" w:rsidRPr="006627F4" w14:paraId="48491B47" w14:textId="77777777" w:rsidTr="00E41686">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200" w:type="pct"/>
            <w:tcMar>
              <w:top w:w="85" w:type="dxa"/>
              <w:left w:w="85" w:type="dxa"/>
              <w:bottom w:w="85" w:type="dxa"/>
              <w:right w:w="85" w:type="dxa"/>
            </w:tcMar>
          </w:tcPr>
          <w:p w14:paraId="331B1255" w14:textId="77777777" w:rsidR="004619ED" w:rsidRPr="009253DE" w:rsidRDefault="004619ED" w:rsidP="00C82F2A">
            <w:pPr>
              <w:pStyle w:val="NTUtabletextBold"/>
            </w:pPr>
            <w:r w:rsidRPr="009253DE">
              <w:t>mL</w:t>
            </w:r>
          </w:p>
        </w:tc>
        <w:tc>
          <w:tcPr>
            <w:tcW w:w="3800" w:type="pct"/>
            <w:gridSpan w:val="2"/>
          </w:tcPr>
          <w:p w14:paraId="309B1388" w14:textId="77777777" w:rsidR="004619ED" w:rsidRPr="006627F4" w:rsidRDefault="004619ED" w:rsidP="00C82F2A">
            <w:pPr>
              <w:pStyle w:val="NTUtabletext"/>
            </w:pPr>
            <w:r w:rsidRPr="006627F4">
              <w:t>Millilitres</w:t>
            </w:r>
          </w:p>
        </w:tc>
      </w:tr>
      <w:tr w:rsidR="00B72F45" w:rsidRPr="006627F4" w14:paraId="4077E12F" w14:textId="77777777" w:rsidTr="00E41686">
        <w:trPr>
          <w:cantSplit/>
          <w:trHeight w:val="18"/>
          <w:tblHeader/>
        </w:trPr>
        <w:tc>
          <w:tcPr>
            <w:tcW w:w="1200" w:type="pct"/>
            <w:tcMar>
              <w:top w:w="85" w:type="dxa"/>
              <w:left w:w="85" w:type="dxa"/>
              <w:bottom w:w="85" w:type="dxa"/>
              <w:right w:w="85" w:type="dxa"/>
            </w:tcMar>
          </w:tcPr>
          <w:p w14:paraId="7C54E085" w14:textId="77777777" w:rsidR="00B72F45" w:rsidRPr="009253DE" w:rsidRDefault="00B72F45" w:rsidP="00114B22">
            <w:pPr>
              <w:pStyle w:val="NTUtabletextBold"/>
            </w:pPr>
            <w:r w:rsidRPr="009253DE">
              <w:t>mm</w:t>
            </w:r>
          </w:p>
        </w:tc>
        <w:tc>
          <w:tcPr>
            <w:tcW w:w="3800" w:type="pct"/>
            <w:gridSpan w:val="2"/>
          </w:tcPr>
          <w:p w14:paraId="5F364813" w14:textId="77777777" w:rsidR="00B72F45" w:rsidRPr="006627F4" w:rsidRDefault="00B72F45" w:rsidP="00114B22">
            <w:pPr>
              <w:pStyle w:val="NTUtabletext"/>
            </w:pPr>
            <w:r w:rsidRPr="006627F4">
              <w:t>millimetres</w:t>
            </w:r>
          </w:p>
        </w:tc>
      </w:tr>
      <w:tr w:rsidR="00B72F45" w:rsidRPr="006627F4" w14:paraId="09A5E2C1" w14:textId="77777777" w:rsidTr="00E41686">
        <w:trPr>
          <w:cantSplit/>
          <w:trHeight w:val="18"/>
          <w:tblHeader/>
        </w:trPr>
        <w:tc>
          <w:tcPr>
            <w:tcW w:w="1200" w:type="pct"/>
            <w:tcMar>
              <w:top w:w="85" w:type="dxa"/>
              <w:left w:w="85" w:type="dxa"/>
              <w:bottom w:w="85" w:type="dxa"/>
              <w:right w:w="85" w:type="dxa"/>
            </w:tcMar>
          </w:tcPr>
          <w:p w14:paraId="5206B193" w14:textId="77777777" w:rsidR="00B72F45" w:rsidRPr="009253DE" w:rsidRDefault="00B72F45" w:rsidP="00114B22">
            <w:pPr>
              <w:pStyle w:val="NTUtabletextBold"/>
            </w:pPr>
            <w:r w:rsidRPr="009253DE">
              <w:t>MPa</w:t>
            </w:r>
          </w:p>
        </w:tc>
        <w:tc>
          <w:tcPr>
            <w:tcW w:w="3800" w:type="pct"/>
            <w:gridSpan w:val="2"/>
          </w:tcPr>
          <w:p w14:paraId="65D724A6" w14:textId="77777777" w:rsidR="00B72F45" w:rsidRPr="006627F4" w:rsidRDefault="00B72F45" w:rsidP="00114B22">
            <w:pPr>
              <w:pStyle w:val="NTUtabletext"/>
            </w:pPr>
            <w:r w:rsidRPr="006627F4">
              <w:t>megapascal</w:t>
            </w:r>
          </w:p>
        </w:tc>
      </w:tr>
      <w:tr w:rsidR="004619ED" w:rsidRPr="006627F4" w14:paraId="08EF46DB" w14:textId="77777777" w:rsidTr="00E41686">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8"/>
        </w:trPr>
        <w:tc>
          <w:tcPr>
            <w:tcW w:w="1200" w:type="pct"/>
            <w:tcMar>
              <w:top w:w="85" w:type="dxa"/>
              <w:left w:w="85" w:type="dxa"/>
              <w:bottom w:w="85" w:type="dxa"/>
              <w:right w:w="85" w:type="dxa"/>
            </w:tcMar>
          </w:tcPr>
          <w:p w14:paraId="6D15B236" w14:textId="77777777" w:rsidR="004619ED" w:rsidRPr="009253DE" w:rsidRDefault="004619ED" w:rsidP="00C82F2A">
            <w:pPr>
              <w:pStyle w:val="NTUtabletextBold"/>
            </w:pPr>
            <w:r w:rsidRPr="009253DE">
              <w:t>MPN</w:t>
            </w:r>
          </w:p>
        </w:tc>
        <w:tc>
          <w:tcPr>
            <w:tcW w:w="3800" w:type="pct"/>
            <w:gridSpan w:val="2"/>
          </w:tcPr>
          <w:p w14:paraId="7462AF62" w14:textId="77777777" w:rsidR="004619ED" w:rsidRPr="006627F4" w:rsidRDefault="004619ED" w:rsidP="00C82F2A">
            <w:pPr>
              <w:pStyle w:val="NTUtabletext"/>
            </w:pPr>
            <w:r w:rsidRPr="006627F4">
              <w:t>Most Probable Number</w:t>
            </w:r>
          </w:p>
        </w:tc>
      </w:tr>
      <w:tr w:rsidR="00B72F45" w:rsidRPr="006627F4" w14:paraId="3EF05215" w14:textId="77777777" w:rsidTr="00E41686">
        <w:trPr>
          <w:cantSplit/>
          <w:trHeight w:val="18"/>
          <w:tblHeader/>
        </w:trPr>
        <w:tc>
          <w:tcPr>
            <w:tcW w:w="1200" w:type="pct"/>
            <w:tcMar>
              <w:top w:w="85" w:type="dxa"/>
              <w:left w:w="85" w:type="dxa"/>
              <w:bottom w:w="85" w:type="dxa"/>
              <w:right w:w="85" w:type="dxa"/>
            </w:tcMar>
          </w:tcPr>
          <w:p w14:paraId="3BF8AF8D" w14:textId="77777777" w:rsidR="00B72F45" w:rsidRPr="009253DE" w:rsidRDefault="00B72F45" w:rsidP="00114B22">
            <w:pPr>
              <w:pStyle w:val="NTUtabletextBold"/>
            </w:pPr>
            <w:r w:rsidRPr="009253DE">
              <w:t>m/s</w:t>
            </w:r>
          </w:p>
        </w:tc>
        <w:tc>
          <w:tcPr>
            <w:tcW w:w="3800" w:type="pct"/>
            <w:gridSpan w:val="2"/>
          </w:tcPr>
          <w:p w14:paraId="4E7378DB" w14:textId="77777777" w:rsidR="00B72F45" w:rsidRPr="006627F4" w:rsidRDefault="00B72F45" w:rsidP="00114B22">
            <w:pPr>
              <w:pStyle w:val="NTUtabletext"/>
            </w:pPr>
            <w:r w:rsidRPr="006627F4">
              <w:t>metres per second</w:t>
            </w:r>
          </w:p>
        </w:tc>
      </w:tr>
      <w:tr w:rsidR="00B72F45" w:rsidRPr="006627F4" w14:paraId="2105A456" w14:textId="77777777" w:rsidTr="00E41686">
        <w:trPr>
          <w:cantSplit/>
          <w:trHeight w:val="18"/>
          <w:tblHeader/>
        </w:trPr>
        <w:tc>
          <w:tcPr>
            <w:tcW w:w="1200" w:type="pct"/>
            <w:tcMar>
              <w:top w:w="85" w:type="dxa"/>
              <w:left w:w="85" w:type="dxa"/>
              <w:bottom w:w="85" w:type="dxa"/>
              <w:right w:w="85" w:type="dxa"/>
            </w:tcMar>
          </w:tcPr>
          <w:p w14:paraId="2489D861" w14:textId="77777777" w:rsidR="00B72F45" w:rsidRPr="009253DE" w:rsidRDefault="00B72F45" w:rsidP="00114B22">
            <w:pPr>
              <w:pStyle w:val="NTUtabletextBold"/>
            </w:pPr>
            <w:r>
              <w:t>NEDS</w:t>
            </w:r>
          </w:p>
        </w:tc>
        <w:tc>
          <w:tcPr>
            <w:tcW w:w="3800" w:type="pct"/>
            <w:gridSpan w:val="2"/>
          </w:tcPr>
          <w:p w14:paraId="573ED887" w14:textId="77777777" w:rsidR="00B72F45" w:rsidRPr="006627F4" w:rsidRDefault="00B72F45" w:rsidP="00114B22">
            <w:pPr>
              <w:pStyle w:val="NTUtabletext"/>
            </w:pPr>
            <w:r>
              <w:t>National Engineering Design Standards</w:t>
            </w:r>
          </w:p>
        </w:tc>
      </w:tr>
      <w:tr w:rsidR="00B72F45" w:rsidRPr="006627F4" w14:paraId="0FED9BA2" w14:textId="77777777" w:rsidTr="00E41686">
        <w:trPr>
          <w:cantSplit/>
          <w:trHeight w:val="18"/>
          <w:tblHeader/>
        </w:trPr>
        <w:tc>
          <w:tcPr>
            <w:tcW w:w="1200" w:type="pct"/>
            <w:tcMar>
              <w:top w:w="85" w:type="dxa"/>
              <w:left w:w="85" w:type="dxa"/>
              <w:bottom w:w="85" w:type="dxa"/>
              <w:right w:w="85" w:type="dxa"/>
            </w:tcMar>
          </w:tcPr>
          <w:p w14:paraId="707E434B" w14:textId="77777777" w:rsidR="00B72F45" w:rsidRPr="009253DE" w:rsidRDefault="00B72F45" w:rsidP="00114B22">
            <w:pPr>
              <w:pStyle w:val="NTUtabletextBold"/>
            </w:pPr>
            <w:r w:rsidRPr="009253DE">
              <w:t>NB</w:t>
            </w:r>
          </w:p>
        </w:tc>
        <w:tc>
          <w:tcPr>
            <w:tcW w:w="3800" w:type="pct"/>
            <w:gridSpan w:val="2"/>
          </w:tcPr>
          <w:p w14:paraId="36E87C19" w14:textId="77777777" w:rsidR="00B72F45" w:rsidRPr="006627F4" w:rsidRDefault="00B72F45" w:rsidP="00114B22">
            <w:pPr>
              <w:pStyle w:val="NTUtabletext"/>
            </w:pPr>
            <w:r w:rsidRPr="006627F4">
              <w:t>Nominal bore. The inside diameter of a</w:t>
            </w:r>
            <w:r w:rsidRPr="006627F4">
              <w:rPr>
                <w:spacing w:val="-4"/>
              </w:rPr>
              <w:t xml:space="preserve"> </w:t>
            </w:r>
            <w:r w:rsidRPr="006627F4">
              <w:t>pipe</w:t>
            </w:r>
          </w:p>
        </w:tc>
      </w:tr>
      <w:tr w:rsidR="00E41686" w:rsidRPr="006627F4" w14:paraId="52949C53" w14:textId="77777777" w:rsidTr="00E41686">
        <w:trPr>
          <w:gridAfter w:val="1"/>
          <w:wAfter w:w="4" w:type="pct"/>
          <w:cantSplit/>
          <w:trHeight w:val="18"/>
          <w:tblHeader/>
        </w:trPr>
        <w:tc>
          <w:tcPr>
            <w:tcW w:w="1200" w:type="pct"/>
            <w:tcMar>
              <w:top w:w="85" w:type="dxa"/>
              <w:left w:w="85" w:type="dxa"/>
              <w:bottom w:w="85" w:type="dxa"/>
              <w:right w:w="85" w:type="dxa"/>
            </w:tcMar>
          </w:tcPr>
          <w:p w14:paraId="5ADC95E4" w14:textId="77777777" w:rsidR="00E41686" w:rsidRPr="009253DE" w:rsidRDefault="00E41686" w:rsidP="00C82F2A">
            <w:pPr>
              <w:pStyle w:val="NTUtabletextBold"/>
            </w:pPr>
            <w:r>
              <w:t>O/L</w:t>
            </w:r>
          </w:p>
        </w:tc>
        <w:tc>
          <w:tcPr>
            <w:tcW w:w="3796" w:type="pct"/>
          </w:tcPr>
          <w:p w14:paraId="5B6F296A" w14:textId="77777777" w:rsidR="00E41686" w:rsidRPr="006627F4" w:rsidRDefault="00E41686" w:rsidP="00C82F2A">
            <w:pPr>
              <w:pStyle w:val="NTUtabletext"/>
            </w:pPr>
            <w:r>
              <w:t>Overload</w:t>
            </w:r>
          </w:p>
        </w:tc>
      </w:tr>
      <w:tr w:rsidR="00B72F45" w:rsidRPr="006627F4" w14:paraId="3436FB11" w14:textId="77777777" w:rsidTr="00E41686">
        <w:trPr>
          <w:cantSplit/>
          <w:trHeight w:val="18"/>
          <w:tblHeader/>
        </w:trPr>
        <w:tc>
          <w:tcPr>
            <w:tcW w:w="1200" w:type="pct"/>
            <w:tcMar>
              <w:top w:w="85" w:type="dxa"/>
              <w:left w:w="85" w:type="dxa"/>
              <w:bottom w:w="85" w:type="dxa"/>
              <w:right w:w="85" w:type="dxa"/>
            </w:tcMar>
          </w:tcPr>
          <w:p w14:paraId="29785372" w14:textId="77777777" w:rsidR="00B72F45" w:rsidRPr="009253DE" w:rsidRDefault="00B72F45" w:rsidP="00114B22">
            <w:pPr>
              <w:pStyle w:val="NTUtabletextBold"/>
            </w:pPr>
            <w:r w:rsidRPr="009253DE">
              <w:t>PE</w:t>
            </w:r>
          </w:p>
        </w:tc>
        <w:tc>
          <w:tcPr>
            <w:tcW w:w="3800" w:type="pct"/>
            <w:gridSpan w:val="2"/>
          </w:tcPr>
          <w:p w14:paraId="0825FBBB" w14:textId="77777777" w:rsidR="00B72F45" w:rsidRPr="006627F4" w:rsidRDefault="00B72F45" w:rsidP="00114B22">
            <w:pPr>
              <w:pStyle w:val="NTUtabletext"/>
            </w:pPr>
            <w:r w:rsidRPr="006627F4">
              <w:t>Polyethylene</w:t>
            </w:r>
          </w:p>
        </w:tc>
      </w:tr>
      <w:tr w:rsidR="00B72F45" w:rsidRPr="006627F4" w14:paraId="7096D023" w14:textId="77777777" w:rsidTr="00E41686">
        <w:trPr>
          <w:cantSplit/>
          <w:trHeight w:val="18"/>
          <w:tblHeader/>
        </w:trPr>
        <w:tc>
          <w:tcPr>
            <w:tcW w:w="1200" w:type="pct"/>
            <w:tcMar>
              <w:top w:w="85" w:type="dxa"/>
              <w:left w:w="85" w:type="dxa"/>
              <w:bottom w:w="85" w:type="dxa"/>
              <w:right w:w="85" w:type="dxa"/>
            </w:tcMar>
          </w:tcPr>
          <w:p w14:paraId="3C4A959D" w14:textId="77777777" w:rsidR="00B72F45" w:rsidRPr="009253DE" w:rsidRDefault="00B72F45" w:rsidP="00114B22">
            <w:pPr>
              <w:pStyle w:val="NTUtabletextBold"/>
            </w:pPr>
            <w:r w:rsidRPr="009253DE">
              <w:lastRenderedPageBreak/>
              <w:t>PF</w:t>
            </w:r>
          </w:p>
        </w:tc>
        <w:tc>
          <w:tcPr>
            <w:tcW w:w="3800" w:type="pct"/>
            <w:gridSpan w:val="2"/>
          </w:tcPr>
          <w:p w14:paraId="145A8B18" w14:textId="77777777" w:rsidR="00B72F45" w:rsidRPr="006627F4" w:rsidRDefault="00B72F45" w:rsidP="00114B22">
            <w:pPr>
              <w:pStyle w:val="NTUtabletext"/>
            </w:pPr>
            <w:r w:rsidRPr="006627F4">
              <w:t>Peaking</w:t>
            </w:r>
            <w:r w:rsidRPr="006627F4">
              <w:rPr>
                <w:spacing w:val="-1"/>
              </w:rPr>
              <w:t xml:space="preserve"> </w:t>
            </w:r>
            <w:r w:rsidRPr="006627F4">
              <w:t>factor</w:t>
            </w:r>
          </w:p>
        </w:tc>
      </w:tr>
      <w:tr w:rsidR="00B72F45" w:rsidRPr="006627F4" w14:paraId="03C0F0F7" w14:textId="77777777" w:rsidTr="00E41686">
        <w:trPr>
          <w:cantSplit/>
          <w:trHeight w:val="18"/>
          <w:tblHeader/>
        </w:trPr>
        <w:tc>
          <w:tcPr>
            <w:tcW w:w="1200" w:type="pct"/>
            <w:tcMar>
              <w:top w:w="85" w:type="dxa"/>
              <w:left w:w="85" w:type="dxa"/>
              <w:bottom w:w="85" w:type="dxa"/>
              <w:right w:w="85" w:type="dxa"/>
            </w:tcMar>
          </w:tcPr>
          <w:p w14:paraId="64BBC64C" w14:textId="77777777" w:rsidR="00B72F45" w:rsidRPr="009253DE" w:rsidRDefault="00B72F45" w:rsidP="00114B22">
            <w:pPr>
              <w:pStyle w:val="NTUtabletextBold"/>
            </w:pPr>
            <w:r w:rsidRPr="009253DE">
              <w:t>PN</w:t>
            </w:r>
          </w:p>
        </w:tc>
        <w:tc>
          <w:tcPr>
            <w:tcW w:w="3800" w:type="pct"/>
            <w:gridSpan w:val="2"/>
          </w:tcPr>
          <w:p w14:paraId="12B34DEB" w14:textId="77777777" w:rsidR="00B72F45" w:rsidRPr="006627F4" w:rsidRDefault="00B72F45" w:rsidP="00114B22">
            <w:pPr>
              <w:pStyle w:val="NTUtabletext"/>
            </w:pPr>
            <w:r w:rsidRPr="006627F4">
              <w:t>Pressure nominal. Maximum rated operating</w:t>
            </w:r>
            <w:r w:rsidRPr="006627F4">
              <w:rPr>
                <w:spacing w:val="-3"/>
              </w:rPr>
              <w:t xml:space="preserve"> </w:t>
            </w:r>
            <w:r w:rsidRPr="006627F4">
              <w:t>pressure</w:t>
            </w:r>
          </w:p>
        </w:tc>
      </w:tr>
      <w:tr w:rsidR="004619ED" w:rsidRPr="006627F4" w14:paraId="692D1DCF" w14:textId="77777777" w:rsidTr="00E41686">
        <w:trPr>
          <w:cantSplit/>
          <w:trHeight w:val="18"/>
          <w:tblHeader/>
        </w:trPr>
        <w:tc>
          <w:tcPr>
            <w:tcW w:w="1200" w:type="pct"/>
            <w:tcBorders>
              <w:top w:val="single" w:sz="4" w:space="0" w:color="293171"/>
              <w:left w:val="single" w:sz="4" w:space="0" w:color="293171"/>
              <w:bottom w:val="single" w:sz="4" w:space="0" w:color="293171"/>
              <w:right w:val="single" w:sz="4" w:space="0" w:color="293171"/>
            </w:tcBorders>
            <w:tcMar>
              <w:top w:w="85" w:type="dxa"/>
              <w:left w:w="85" w:type="dxa"/>
              <w:bottom w:w="85" w:type="dxa"/>
              <w:right w:w="85" w:type="dxa"/>
            </w:tcMar>
          </w:tcPr>
          <w:p w14:paraId="47DA735C" w14:textId="77777777" w:rsidR="004619ED" w:rsidRPr="009253DE" w:rsidRDefault="004619ED" w:rsidP="00C82F2A">
            <w:pPr>
              <w:pStyle w:val="NTUtabletextBold"/>
            </w:pPr>
            <w:r w:rsidRPr="009253DE">
              <w:t>PPE</w:t>
            </w:r>
          </w:p>
        </w:tc>
        <w:tc>
          <w:tcPr>
            <w:tcW w:w="3800" w:type="pct"/>
            <w:gridSpan w:val="2"/>
            <w:tcBorders>
              <w:top w:val="single" w:sz="4" w:space="0" w:color="293171"/>
              <w:left w:val="single" w:sz="4" w:space="0" w:color="293171"/>
              <w:bottom w:val="single" w:sz="4" w:space="0" w:color="293171"/>
              <w:right w:val="single" w:sz="4" w:space="0" w:color="293171"/>
            </w:tcBorders>
          </w:tcPr>
          <w:p w14:paraId="22887CEC" w14:textId="77777777" w:rsidR="004619ED" w:rsidRPr="006627F4" w:rsidRDefault="004619ED" w:rsidP="00C82F2A">
            <w:pPr>
              <w:pStyle w:val="NTUtabletext"/>
            </w:pPr>
            <w:r w:rsidRPr="006627F4">
              <w:t>Personal Protective Equipment</w:t>
            </w:r>
          </w:p>
        </w:tc>
      </w:tr>
      <w:tr w:rsidR="004619ED" w:rsidRPr="006627F4" w14:paraId="58C57F47" w14:textId="77777777" w:rsidTr="00E41686">
        <w:trPr>
          <w:cantSplit/>
          <w:trHeight w:val="18"/>
          <w:tblHeader/>
        </w:trPr>
        <w:tc>
          <w:tcPr>
            <w:tcW w:w="1200" w:type="pct"/>
            <w:tcBorders>
              <w:top w:val="single" w:sz="4" w:space="0" w:color="293171"/>
              <w:left w:val="single" w:sz="4" w:space="0" w:color="293171"/>
              <w:bottom w:val="single" w:sz="4" w:space="0" w:color="293171"/>
              <w:right w:val="single" w:sz="4" w:space="0" w:color="293171"/>
            </w:tcBorders>
            <w:tcMar>
              <w:top w:w="85" w:type="dxa"/>
              <w:left w:w="85" w:type="dxa"/>
              <w:bottom w:w="85" w:type="dxa"/>
              <w:right w:w="85" w:type="dxa"/>
            </w:tcMar>
          </w:tcPr>
          <w:p w14:paraId="02DD7142" w14:textId="77777777" w:rsidR="004619ED" w:rsidRPr="009253DE" w:rsidRDefault="004619ED" w:rsidP="00C82F2A">
            <w:pPr>
              <w:pStyle w:val="NTUtabletextBold"/>
            </w:pPr>
            <w:r w:rsidRPr="009253DE">
              <w:t>ppm</w:t>
            </w:r>
          </w:p>
        </w:tc>
        <w:tc>
          <w:tcPr>
            <w:tcW w:w="3800" w:type="pct"/>
            <w:gridSpan w:val="2"/>
            <w:tcBorders>
              <w:top w:val="single" w:sz="4" w:space="0" w:color="293171"/>
              <w:left w:val="single" w:sz="4" w:space="0" w:color="293171"/>
              <w:bottom w:val="single" w:sz="4" w:space="0" w:color="293171"/>
              <w:right w:val="single" w:sz="4" w:space="0" w:color="293171"/>
            </w:tcBorders>
          </w:tcPr>
          <w:p w14:paraId="044EA967" w14:textId="77777777" w:rsidR="004619ED" w:rsidRPr="006627F4" w:rsidRDefault="004619ED" w:rsidP="00C82F2A">
            <w:pPr>
              <w:pStyle w:val="NTUtabletext"/>
            </w:pPr>
            <w:r w:rsidRPr="006627F4">
              <w:t>Parts per million (equivalent to mg/L)</w:t>
            </w:r>
          </w:p>
        </w:tc>
      </w:tr>
      <w:tr w:rsidR="00E41686" w:rsidRPr="006627F4" w14:paraId="0018E268" w14:textId="77777777" w:rsidTr="00E41686">
        <w:trPr>
          <w:gridAfter w:val="1"/>
          <w:wAfter w:w="4" w:type="pct"/>
          <w:cantSplit/>
          <w:trHeight w:val="18"/>
          <w:tblHeader/>
        </w:trPr>
        <w:tc>
          <w:tcPr>
            <w:tcW w:w="1200" w:type="pct"/>
            <w:tcMar>
              <w:top w:w="85" w:type="dxa"/>
              <w:left w:w="85" w:type="dxa"/>
              <w:bottom w:w="85" w:type="dxa"/>
              <w:right w:w="85" w:type="dxa"/>
            </w:tcMar>
          </w:tcPr>
          <w:p w14:paraId="7321C3AB" w14:textId="77777777" w:rsidR="00E41686" w:rsidRPr="00E41686" w:rsidRDefault="00E41686" w:rsidP="00C82F2A">
            <w:pPr>
              <w:pStyle w:val="NTUtabletext"/>
              <w:rPr>
                <w:b/>
                <w:bCs/>
              </w:rPr>
            </w:pPr>
            <w:r w:rsidRPr="00E41686">
              <w:rPr>
                <w:b/>
                <w:bCs/>
              </w:rPr>
              <w:t>PVC</w:t>
            </w:r>
          </w:p>
        </w:tc>
        <w:tc>
          <w:tcPr>
            <w:tcW w:w="3796" w:type="pct"/>
          </w:tcPr>
          <w:p w14:paraId="715C6197" w14:textId="77777777" w:rsidR="00E41686" w:rsidRPr="006627F4" w:rsidRDefault="00E41686" w:rsidP="00C82F2A">
            <w:pPr>
              <w:pStyle w:val="NTUtabletext"/>
            </w:pPr>
            <w:r>
              <w:t>P</w:t>
            </w:r>
            <w:r w:rsidRPr="00B841D7">
              <w:t>olyvinylchloride</w:t>
            </w:r>
          </w:p>
        </w:tc>
      </w:tr>
      <w:tr w:rsidR="00E41686" w:rsidRPr="006627F4" w14:paraId="23AE1A26" w14:textId="77777777" w:rsidTr="00E41686">
        <w:trPr>
          <w:gridAfter w:val="1"/>
          <w:wAfter w:w="4" w:type="pct"/>
          <w:cantSplit/>
          <w:trHeight w:val="18"/>
          <w:tblHeader/>
        </w:trPr>
        <w:tc>
          <w:tcPr>
            <w:tcW w:w="1200" w:type="pct"/>
            <w:tcMar>
              <w:top w:w="85" w:type="dxa"/>
              <w:left w:w="85" w:type="dxa"/>
              <w:bottom w:w="85" w:type="dxa"/>
              <w:right w:w="85" w:type="dxa"/>
            </w:tcMar>
          </w:tcPr>
          <w:p w14:paraId="7374505C" w14:textId="77777777" w:rsidR="00E41686" w:rsidRPr="00E41686" w:rsidRDefault="00E41686" w:rsidP="00C82F2A">
            <w:pPr>
              <w:pStyle w:val="NTUtabletext"/>
              <w:rPr>
                <w:b/>
                <w:bCs/>
              </w:rPr>
            </w:pPr>
            <w:r w:rsidRPr="00E41686">
              <w:rPr>
                <w:b/>
                <w:bCs/>
              </w:rPr>
              <w:t>RTU</w:t>
            </w:r>
          </w:p>
        </w:tc>
        <w:tc>
          <w:tcPr>
            <w:tcW w:w="3796" w:type="pct"/>
          </w:tcPr>
          <w:p w14:paraId="503BDD85" w14:textId="77777777" w:rsidR="00E41686" w:rsidRPr="009130A8" w:rsidRDefault="00E41686" w:rsidP="00C82F2A">
            <w:pPr>
              <w:pStyle w:val="NTUtabletext"/>
            </w:pPr>
            <w:r>
              <w:t>Remote Telemetry Unit</w:t>
            </w:r>
          </w:p>
        </w:tc>
      </w:tr>
      <w:tr w:rsidR="00E41686" w:rsidRPr="006627F4" w14:paraId="72AFE1C6" w14:textId="77777777" w:rsidTr="00E41686">
        <w:trPr>
          <w:gridAfter w:val="1"/>
          <w:wAfter w:w="4" w:type="pct"/>
          <w:cantSplit/>
          <w:trHeight w:val="18"/>
          <w:tblHeader/>
        </w:trPr>
        <w:tc>
          <w:tcPr>
            <w:tcW w:w="1200" w:type="pct"/>
            <w:tcMar>
              <w:top w:w="85" w:type="dxa"/>
              <w:left w:w="85" w:type="dxa"/>
              <w:bottom w:w="85" w:type="dxa"/>
              <w:right w:w="85" w:type="dxa"/>
            </w:tcMar>
          </w:tcPr>
          <w:p w14:paraId="073B1AAF" w14:textId="77777777" w:rsidR="00E41686" w:rsidRPr="00E41686" w:rsidRDefault="00E41686" w:rsidP="00C82F2A">
            <w:pPr>
              <w:pStyle w:val="NTUtabletext"/>
              <w:rPr>
                <w:b/>
                <w:bCs/>
              </w:rPr>
            </w:pPr>
            <w:r w:rsidRPr="00E41686">
              <w:rPr>
                <w:b/>
                <w:bCs/>
              </w:rPr>
              <w:t>SCADA</w:t>
            </w:r>
          </w:p>
        </w:tc>
        <w:tc>
          <w:tcPr>
            <w:tcW w:w="3796" w:type="pct"/>
          </w:tcPr>
          <w:p w14:paraId="017B4FC5" w14:textId="77777777" w:rsidR="00E41686" w:rsidRPr="00515FC7" w:rsidRDefault="00E41686" w:rsidP="00C82F2A">
            <w:pPr>
              <w:pStyle w:val="NTUtabletext"/>
            </w:pPr>
            <w:r w:rsidRPr="00515FC7">
              <w:t>Supervisory control and data acquisition</w:t>
            </w:r>
          </w:p>
        </w:tc>
      </w:tr>
      <w:tr w:rsidR="004619ED" w:rsidRPr="006627F4" w14:paraId="5751DF00" w14:textId="77777777" w:rsidTr="00E41686">
        <w:trPr>
          <w:cantSplit/>
          <w:trHeight w:val="18"/>
          <w:tblHeader/>
        </w:trPr>
        <w:tc>
          <w:tcPr>
            <w:tcW w:w="1200" w:type="pct"/>
            <w:tcBorders>
              <w:top w:val="single" w:sz="4" w:space="0" w:color="293171"/>
              <w:left w:val="single" w:sz="4" w:space="0" w:color="293171"/>
              <w:bottom w:val="single" w:sz="4" w:space="0" w:color="293171"/>
              <w:right w:val="single" w:sz="4" w:space="0" w:color="293171"/>
            </w:tcBorders>
            <w:tcMar>
              <w:top w:w="85" w:type="dxa"/>
              <w:left w:w="85" w:type="dxa"/>
              <w:bottom w:w="85" w:type="dxa"/>
              <w:right w:w="85" w:type="dxa"/>
            </w:tcMar>
          </w:tcPr>
          <w:p w14:paraId="2BB0B3BB" w14:textId="77777777" w:rsidR="004619ED" w:rsidRPr="009253DE" w:rsidRDefault="004619ED" w:rsidP="00C82F2A">
            <w:pPr>
              <w:pStyle w:val="NTUtabletextBold"/>
            </w:pPr>
            <w:r w:rsidRPr="009253DE">
              <w:t>SDS</w:t>
            </w:r>
          </w:p>
        </w:tc>
        <w:tc>
          <w:tcPr>
            <w:tcW w:w="3800" w:type="pct"/>
            <w:gridSpan w:val="2"/>
            <w:tcBorders>
              <w:top w:val="single" w:sz="4" w:space="0" w:color="293171"/>
              <w:left w:val="single" w:sz="4" w:space="0" w:color="293171"/>
              <w:bottom w:val="single" w:sz="4" w:space="0" w:color="293171"/>
              <w:right w:val="single" w:sz="4" w:space="0" w:color="293171"/>
            </w:tcBorders>
          </w:tcPr>
          <w:p w14:paraId="34EBDB89" w14:textId="77777777" w:rsidR="004619ED" w:rsidRPr="006627F4" w:rsidRDefault="004619ED" w:rsidP="00C82F2A">
            <w:pPr>
              <w:pStyle w:val="NTUtabletext"/>
            </w:pPr>
            <w:r w:rsidRPr="006627F4">
              <w:t>Safety Data Sheet</w:t>
            </w:r>
          </w:p>
        </w:tc>
      </w:tr>
      <w:tr w:rsidR="004619ED" w:rsidRPr="006627F4" w14:paraId="1B6804CF" w14:textId="77777777" w:rsidTr="00E41686">
        <w:trPr>
          <w:cantSplit/>
          <w:trHeight w:val="18"/>
          <w:tblHeader/>
        </w:trPr>
        <w:tc>
          <w:tcPr>
            <w:tcW w:w="1200" w:type="pct"/>
            <w:tcBorders>
              <w:top w:val="single" w:sz="4" w:space="0" w:color="293171"/>
              <w:left w:val="single" w:sz="4" w:space="0" w:color="293171"/>
              <w:bottom w:val="single" w:sz="4" w:space="0" w:color="293171"/>
              <w:right w:val="single" w:sz="4" w:space="0" w:color="293171"/>
            </w:tcBorders>
            <w:tcMar>
              <w:top w:w="85" w:type="dxa"/>
              <w:left w:w="85" w:type="dxa"/>
              <w:bottom w:w="85" w:type="dxa"/>
              <w:right w:w="85" w:type="dxa"/>
            </w:tcMar>
          </w:tcPr>
          <w:p w14:paraId="4B5DC68C" w14:textId="77777777" w:rsidR="004619ED" w:rsidRPr="009253DE" w:rsidRDefault="004619ED" w:rsidP="00C82F2A">
            <w:pPr>
              <w:pStyle w:val="NTUtabletextBold"/>
            </w:pPr>
            <w:r w:rsidRPr="009253DE">
              <w:t>WTPs</w:t>
            </w:r>
          </w:p>
        </w:tc>
        <w:tc>
          <w:tcPr>
            <w:tcW w:w="3800" w:type="pct"/>
            <w:gridSpan w:val="2"/>
            <w:tcBorders>
              <w:top w:val="single" w:sz="4" w:space="0" w:color="293171"/>
              <w:left w:val="single" w:sz="4" w:space="0" w:color="293171"/>
              <w:bottom w:val="single" w:sz="4" w:space="0" w:color="293171"/>
              <w:right w:val="single" w:sz="4" w:space="0" w:color="293171"/>
            </w:tcBorders>
          </w:tcPr>
          <w:p w14:paraId="6796B343" w14:textId="77777777" w:rsidR="004619ED" w:rsidRPr="006627F4" w:rsidRDefault="004619ED" w:rsidP="00C82F2A">
            <w:pPr>
              <w:pStyle w:val="NTUtabletext"/>
            </w:pPr>
            <w:r w:rsidRPr="006627F4">
              <w:t>Water Treatment Plants</w:t>
            </w:r>
          </w:p>
        </w:tc>
      </w:tr>
    </w:tbl>
    <w:p w14:paraId="1BE8D6E0" w14:textId="6796BA32" w:rsidR="00B72F45" w:rsidRDefault="00B72F45" w:rsidP="00B72F45">
      <w:pPr>
        <w:pStyle w:val="NTUMasterNormal"/>
        <w:rPr>
          <w:color w:val="0070C0"/>
          <w:sz w:val="26"/>
          <w:szCs w:val="26"/>
          <w:lang w:val="en-US" w:eastAsia="en-NZ"/>
        </w:rPr>
      </w:pPr>
    </w:p>
    <w:p w14:paraId="4E880A1E" w14:textId="28E873E8" w:rsidR="00B72F45" w:rsidRDefault="00B72F45" w:rsidP="00B72F45">
      <w:pPr>
        <w:pStyle w:val="NTUNoNumbers-H2"/>
      </w:pPr>
      <w:bookmarkStart w:id="50" w:name="_Toc138851404"/>
      <w:bookmarkStart w:id="51" w:name="_Toc145948931"/>
      <w:r>
        <w:t>REFERENCED DOCUMENTS</w:t>
      </w:r>
      <w:bookmarkEnd w:id="50"/>
      <w:bookmarkEnd w:id="51"/>
      <w:r w:rsidR="00F12615">
        <w:t xml:space="preserve"> - </w:t>
      </w:r>
    </w:p>
    <w:p w14:paraId="53F90A52" w14:textId="77777777" w:rsidR="00B72F45" w:rsidRPr="00953F34" w:rsidRDefault="00B72F45" w:rsidP="00F12615">
      <w:pPr>
        <w:pStyle w:val="NTUMasterNormal"/>
        <w:ind w:left="0"/>
        <w:rPr>
          <w:rStyle w:val="Strong"/>
          <w:b w:val="0"/>
          <w:bCs w:val="0"/>
        </w:rPr>
      </w:pPr>
      <w:r w:rsidRPr="00953F34">
        <w:rPr>
          <w:rStyle w:val="Strong"/>
        </w:rPr>
        <w:t>RELEVANT LEGISLATION, REGULATIONS AND STANDARDS:</w:t>
      </w:r>
    </w:p>
    <w:p w14:paraId="140DDB6F" w14:textId="77777777" w:rsidR="00B72F45" w:rsidRDefault="00B72F45" w:rsidP="00F12615">
      <w:pPr>
        <w:pStyle w:val="NTUanumberingindent1"/>
      </w:pPr>
      <w:r>
        <w:t>Resource Management Act (RMA, 1991)</w:t>
      </w:r>
    </w:p>
    <w:p w14:paraId="72A7FD86" w14:textId="77777777" w:rsidR="00B72F45" w:rsidRDefault="00B72F45" w:rsidP="00F12615">
      <w:pPr>
        <w:pStyle w:val="NTUanumberingindent1"/>
        <w:numPr>
          <w:ilvl w:val="0"/>
          <w:numId w:val="39"/>
        </w:numPr>
        <w:ind w:left="964"/>
      </w:pPr>
      <w:r>
        <w:t>District Plans</w:t>
      </w:r>
    </w:p>
    <w:p w14:paraId="31B5F378" w14:textId="77777777" w:rsidR="00B72F45" w:rsidRDefault="00B72F45" w:rsidP="00F12615">
      <w:pPr>
        <w:pStyle w:val="NTUanumberingindent1"/>
        <w:numPr>
          <w:ilvl w:val="0"/>
          <w:numId w:val="39"/>
        </w:numPr>
        <w:ind w:left="964"/>
      </w:pPr>
      <w:r>
        <w:t>Regional Plans</w:t>
      </w:r>
    </w:p>
    <w:p w14:paraId="2C4A0AC0" w14:textId="77777777" w:rsidR="00B72F45" w:rsidRDefault="00B72F45" w:rsidP="00F12615">
      <w:pPr>
        <w:pStyle w:val="NTUanumberingindent1"/>
        <w:numPr>
          <w:ilvl w:val="0"/>
          <w:numId w:val="39"/>
        </w:numPr>
        <w:ind w:left="964"/>
      </w:pPr>
      <w:r>
        <w:t>Building Act 2004</w:t>
      </w:r>
    </w:p>
    <w:p w14:paraId="2F8B3E85" w14:textId="77777777" w:rsidR="00B72F45" w:rsidRDefault="00B72F45" w:rsidP="00F12615">
      <w:pPr>
        <w:pStyle w:val="NTUanumberingindent1"/>
        <w:numPr>
          <w:ilvl w:val="0"/>
          <w:numId w:val="39"/>
        </w:numPr>
        <w:ind w:left="964"/>
      </w:pPr>
      <w:r>
        <w:t>Building Regulations 1992</w:t>
      </w:r>
    </w:p>
    <w:p w14:paraId="0BEA34D5" w14:textId="77777777" w:rsidR="00B72F45" w:rsidRDefault="00B72F45" w:rsidP="00F12615">
      <w:pPr>
        <w:pStyle w:val="NTUanumberingindent1"/>
        <w:numPr>
          <w:ilvl w:val="0"/>
          <w:numId w:val="39"/>
        </w:numPr>
        <w:ind w:left="964"/>
      </w:pPr>
      <w:r>
        <w:t>Building Code and associated Compliance Documents</w:t>
      </w:r>
    </w:p>
    <w:p w14:paraId="32F991EB" w14:textId="77777777" w:rsidR="00B72F45" w:rsidRDefault="00B72F45" w:rsidP="00F12615">
      <w:pPr>
        <w:pStyle w:val="NTUanumberingindent1"/>
        <w:numPr>
          <w:ilvl w:val="0"/>
          <w:numId w:val="39"/>
        </w:numPr>
        <w:ind w:left="964"/>
      </w:pPr>
      <w:r>
        <w:t>Health and Safety at Work Act 2015</w:t>
      </w:r>
    </w:p>
    <w:p w14:paraId="2B5FA33D" w14:textId="77777777" w:rsidR="00B72F45" w:rsidRPr="00323B72" w:rsidRDefault="00B72F45" w:rsidP="00F12615">
      <w:pPr>
        <w:pStyle w:val="NTUanumberingindent1"/>
        <w:numPr>
          <w:ilvl w:val="0"/>
          <w:numId w:val="39"/>
        </w:numPr>
        <w:ind w:left="964"/>
      </w:pPr>
      <w:r>
        <w:t>Spatial Plans</w:t>
      </w:r>
    </w:p>
    <w:p w14:paraId="0F061DDA" w14:textId="77777777" w:rsidR="00B72F45" w:rsidRPr="00323B72" w:rsidRDefault="00B72F45" w:rsidP="00B72F45">
      <w:pPr>
        <w:pStyle w:val="NTUnoindentNormal"/>
        <w:rPr>
          <w:rStyle w:val="Strong"/>
        </w:rPr>
      </w:pPr>
      <w:r w:rsidRPr="00323B72">
        <w:rPr>
          <w:rStyle w:val="Strong"/>
        </w:rPr>
        <w:t>Earthworks and roading</w:t>
      </w:r>
    </w:p>
    <w:p w14:paraId="78B3DAA1" w14:textId="77777777" w:rsidR="00B72F45" w:rsidRDefault="00B72F45" w:rsidP="00B72F45">
      <w:pPr>
        <w:pStyle w:val="NTUnoindentNormal"/>
      </w:pPr>
      <w:r>
        <w:t>NZS 4404:2010. Land development and subdivision infrastructure</w:t>
      </w:r>
      <w:r>
        <w:br/>
        <w:t>NZS4402 Methods of testing soils for civil engineering purposes</w:t>
      </w:r>
      <w:r>
        <w:br/>
        <w:t>AS1289.6.9.1 Methods for testing soils for engineering purposes – Soil strength and consolidation test – Determination of stiffness of soil – Clegg impact value</w:t>
      </w:r>
      <w:r>
        <w:br/>
        <w:t>Approved Code of Practice HSNOCOP 55 Storage of Explosives</w:t>
      </w:r>
      <w:r>
        <w:br/>
        <w:t>BS 5930 Code of Practice for ground investigations</w:t>
      </w:r>
      <w:r>
        <w:br/>
        <w:t>NZTA F2 (New Zealand Transport Agency) – Specification for pipe subsoil drain construction</w:t>
      </w:r>
      <w:r>
        <w:br/>
        <w:t>TNZ B/02 (New Zealand Transport Agency) – Specification for construction of unbound granular pavement layers</w:t>
      </w:r>
      <w:r>
        <w:br/>
        <w:t>NZTA M1 (New Zealand Transport Agency) – Specification for roading bitumens</w:t>
      </w:r>
      <w:r>
        <w:br/>
        <w:t>NZTA M10 (New Zealand Transport Agency) – Specification for dense graded and stone mastic asphalts</w:t>
      </w:r>
    </w:p>
    <w:p w14:paraId="26D759A9" w14:textId="77777777" w:rsidR="00B72F45" w:rsidRPr="00323B72" w:rsidRDefault="00B72F45" w:rsidP="00B72F45">
      <w:pPr>
        <w:pStyle w:val="NTUnoindentNormal"/>
        <w:rPr>
          <w:rStyle w:val="Strong"/>
        </w:rPr>
      </w:pPr>
      <w:r w:rsidRPr="00323B72">
        <w:rPr>
          <w:rStyle w:val="Strong"/>
        </w:rPr>
        <w:lastRenderedPageBreak/>
        <w:t>Pipe and duct laying</w:t>
      </w:r>
    </w:p>
    <w:p w14:paraId="2E9775F2" w14:textId="77777777" w:rsidR="00B72F45" w:rsidRDefault="00B72F45" w:rsidP="00B72F45">
      <w:pPr>
        <w:pStyle w:val="NTUnoindentNormal"/>
      </w:pPr>
      <w:r>
        <w:t>AS/NZS 2566 Buried flexible pipelines, Part 2: Installation</w:t>
      </w:r>
      <w:r>
        <w:br/>
        <w:t>AS/NZS 2032 Installation of PVC pipe systems</w:t>
      </w:r>
      <w:r>
        <w:br/>
        <w:t>AS/NZS 2033 Installation of polyethylene pipe systems</w:t>
      </w:r>
      <w:r>
        <w:br/>
        <w:t>AS/NZS 4130 Polyethylene (PE) pipes for pressure applications</w:t>
      </w:r>
      <w:r>
        <w:br/>
        <w:t>POP001 Electrofusion jointing of PE pipes and fittings for pressure applications</w:t>
      </w:r>
      <w:r>
        <w:br/>
        <w:t>POP003 Butt fusion jointing of PE pipes and fittings – recommended parameters</w:t>
      </w:r>
      <w:r>
        <w:br/>
        <w:t>POP005 Packaging, handling and storage of polyethylene pipes and fittings</w:t>
      </w:r>
      <w:r>
        <w:br/>
        <w:t>AWWA C209 Cold-applied tape coatings for steel water pipe, special sections, connections and fittings</w:t>
      </w:r>
    </w:p>
    <w:p w14:paraId="03949EAF" w14:textId="77777777" w:rsidR="00B72F45" w:rsidRPr="009D40A6" w:rsidRDefault="00B72F45" w:rsidP="00B72F45">
      <w:pPr>
        <w:pStyle w:val="NTUnoindentNormal"/>
        <w:rPr>
          <w:rStyle w:val="Strong"/>
        </w:rPr>
      </w:pPr>
      <w:r w:rsidRPr="009D40A6">
        <w:rPr>
          <w:rStyle w:val="Strong"/>
        </w:rPr>
        <w:t xml:space="preserve">Pipe </w:t>
      </w:r>
      <w:r w:rsidRPr="0079779B">
        <w:rPr>
          <w:rStyle w:val="Strong"/>
        </w:rPr>
        <w:t>lining</w:t>
      </w:r>
    </w:p>
    <w:p w14:paraId="779843E9" w14:textId="77777777" w:rsidR="00B72F45" w:rsidRDefault="00B72F45" w:rsidP="00B72F45">
      <w:pPr>
        <w:pStyle w:val="NTUnoindentNormal"/>
      </w:pPr>
      <w:r>
        <w:t>ISO 11298 Plastic piping systems for renovation of underground water supply systems</w:t>
      </w:r>
      <w:r>
        <w:br/>
        <w:t>Part 1 – General</w:t>
      </w:r>
      <w:r>
        <w:br/>
        <w:t>Part 2 – Lining with continuous pipes</w:t>
      </w:r>
      <w:r>
        <w:br/>
        <w:t>Part 3 – Lining with close fit pipes</w:t>
      </w:r>
      <w:r>
        <w:br/>
        <w:t>AS/NZS 1516 The cement mortar lining of pipes in-situ</w:t>
      </w:r>
      <w:r>
        <w:br/>
        <w:t>AS1012 part 24 Methods of testing concrete – Determination of the tensile bond strength of concrete – Repairs and strengthening systems</w:t>
      </w:r>
    </w:p>
    <w:p w14:paraId="0C318E02" w14:textId="77777777" w:rsidR="00B72F45" w:rsidRPr="00323B72" w:rsidRDefault="00B72F45" w:rsidP="00B72F45">
      <w:pPr>
        <w:pStyle w:val="NTUnoindentNormal"/>
        <w:rPr>
          <w:rStyle w:val="Strong"/>
        </w:rPr>
      </w:pPr>
      <w:r w:rsidRPr="00323B72">
        <w:rPr>
          <w:rStyle w:val="Strong"/>
        </w:rPr>
        <w:t>Concrete</w:t>
      </w:r>
    </w:p>
    <w:p w14:paraId="6421A470" w14:textId="77777777" w:rsidR="00B72F45" w:rsidRDefault="00B72F45" w:rsidP="00B72F45">
      <w:pPr>
        <w:pStyle w:val="NTUnoindentNormal"/>
      </w:pPr>
      <w:r>
        <w:t>AS/NZS 1554 part 3 Welding of reinforcing steel</w:t>
      </w:r>
      <w:r>
        <w:br/>
        <w:t>NZS 3104 Specification for concrete production</w:t>
      </w:r>
      <w:r>
        <w:br/>
        <w:t>NZS 3109 Concrete construction</w:t>
      </w:r>
      <w:r>
        <w:br/>
        <w:t>NZS 3111 Methods of test for water and aggregate for concrete</w:t>
      </w:r>
      <w:r>
        <w:br/>
        <w:t>NZS 3112 Methods of test for concrete</w:t>
      </w:r>
      <w:r>
        <w:br/>
        <w:t>Part 1 Tests relating to fresh concrete</w:t>
      </w:r>
      <w:r>
        <w:br/>
        <w:t>Part 2 Tests relating to the determination of strength of concrete</w:t>
      </w:r>
      <w:r>
        <w:br/>
        <w:t>Part 3 Tests on hardened concrete other than strength</w:t>
      </w:r>
      <w:r>
        <w:br/>
        <w:t>Part 4 Tests relating to grout</w:t>
      </w:r>
      <w:r>
        <w:br/>
        <w:t>NZS 3114 Specification for concrete surface finishes</w:t>
      </w:r>
      <w:r>
        <w:br/>
        <w:t>NZS 3121 Specification for water and aggregate for concrete</w:t>
      </w:r>
      <w:r>
        <w:br/>
        <w:t>NZS 3152 Specification for the manufacture and use of structural and insulating lightweight concrete</w:t>
      </w:r>
      <w:r>
        <w:br/>
        <w:t>AS/NZS 4671 Steel reinforcing materials</w:t>
      </w:r>
      <w:r>
        <w:br/>
        <w:t>AS/NZS 4672 part 1 and part 2 Steel pre-stressing materials</w:t>
      </w:r>
      <w:r>
        <w:br/>
        <w:t>AS/NZS 3679 part 1 Structural steel – Hot-rolled bars and sections</w:t>
      </w:r>
    </w:p>
    <w:p w14:paraId="79AE4D7D" w14:textId="77777777" w:rsidR="00B72F45" w:rsidRPr="00323B72" w:rsidRDefault="00B72F45" w:rsidP="00B72F45">
      <w:pPr>
        <w:pStyle w:val="NTUnoindentNormal"/>
        <w:rPr>
          <w:rStyle w:val="Strong"/>
        </w:rPr>
      </w:pPr>
      <w:r w:rsidRPr="00323B72">
        <w:rPr>
          <w:rStyle w:val="Strong"/>
        </w:rPr>
        <w:t>Formwork and temporary works</w:t>
      </w:r>
    </w:p>
    <w:p w14:paraId="2EDFB30A" w14:textId="77777777" w:rsidR="00B72F45" w:rsidRDefault="00B72F45" w:rsidP="00B72F45">
      <w:pPr>
        <w:pStyle w:val="NTUnoindentNormal"/>
      </w:pPr>
      <w:r>
        <w:t>AS 3610 Formwork for concrete</w:t>
      </w:r>
      <w:r>
        <w:br/>
        <w:t>AS/NZS 4994.4 Temporary edge protection – Part 4 Perimeter protection screens</w:t>
      </w:r>
      <w:r>
        <w:br/>
        <w:t>AS/NZS 5131 Structural steelwork – Fabrication and Erection</w:t>
      </w:r>
      <w:r>
        <w:br/>
        <w:t>Painting</w:t>
      </w:r>
      <w:r>
        <w:br/>
        <w:t>BS5252 Framework for colour co-ordination for building purposes</w:t>
      </w:r>
      <w:r>
        <w:br/>
        <w:t>ASTM D-610-08 Method of evaluating degree of rusting on painted steel surfaces</w:t>
      </w:r>
      <w:r>
        <w:br/>
        <w:t>AS/NZS 2311 Guide to the painting of buildings</w:t>
      </w:r>
      <w:r>
        <w:br/>
        <w:t>AS/NZS 2312 part 1 Guidelines for the protection of iron and steel against exterior atmospheric corrosion</w:t>
      </w:r>
      <w:r>
        <w:br/>
        <w:t>Steel Structures Painting Council (SSPC) Painting manual</w:t>
      </w:r>
      <w:r>
        <w:br/>
        <w:t>Volume 1: Good painting practice</w:t>
      </w:r>
      <w:r>
        <w:br/>
        <w:t>Volume 2: Systems and specifications</w:t>
      </w:r>
    </w:p>
    <w:p w14:paraId="56E45F92" w14:textId="77777777" w:rsidR="00B72F45" w:rsidRPr="00323B72" w:rsidRDefault="00B72F45" w:rsidP="00B72F45">
      <w:pPr>
        <w:pStyle w:val="NTUnoindentNormal"/>
        <w:rPr>
          <w:rStyle w:val="Strong"/>
        </w:rPr>
      </w:pPr>
      <w:r w:rsidRPr="00323B72">
        <w:rPr>
          <w:rStyle w:val="Strong"/>
        </w:rPr>
        <w:t>Demolition</w:t>
      </w:r>
    </w:p>
    <w:p w14:paraId="1233552F" w14:textId="77777777" w:rsidR="00B72F45" w:rsidRDefault="00B72F45" w:rsidP="00B72F45">
      <w:pPr>
        <w:pStyle w:val="NTUnoindentNormal"/>
      </w:pPr>
      <w:r>
        <w:lastRenderedPageBreak/>
        <w:t>AS2601 Demolition of structures</w:t>
      </w:r>
    </w:p>
    <w:p w14:paraId="5657AA30" w14:textId="77777777" w:rsidR="00B72F45" w:rsidRPr="00323B72" w:rsidRDefault="00B72F45" w:rsidP="00B72F45">
      <w:pPr>
        <w:pStyle w:val="NTUnoindentNormal"/>
        <w:rPr>
          <w:rStyle w:val="Strong"/>
        </w:rPr>
      </w:pPr>
      <w:r w:rsidRPr="00323B72">
        <w:rPr>
          <w:rStyle w:val="Strong"/>
        </w:rPr>
        <w:t>Masonry</w:t>
      </w:r>
    </w:p>
    <w:p w14:paraId="7C28E387" w14:textId="77777777" w:rsidR="00B72F45" w:rsidRDefault="00B72F45" w:rsidP="00B72F45">
      <w:pPr>
        <w:pStyle w:val="NTUnoindentNormal"/>
      </w:pPr>
      <w:r>
        <w:t>NZS 4210 Masonry construction: materials and workmanship</w:t>
      </w:r>
      <w:r>
        <w:br/>
        <w:t>AS 1316 Masonry cement</w:t>
      </w:r>
      <w:r>
        <w:br/>
        <w:t>AS/NZS 2699 part 1 and 2 Built-in components for masonry construction</w:t>
      </w:r>
      <w:r>
        <w:br/>
        <w:t>AS/NZS 2904 Damp-proof courses and flashings</w:t>
      </w:r>
      <w:r>
        <w:br/>
        <w:t>New Zealand Building Code (NZBC)</w:t>
      </w:r>
    </w:p>
    <w:p w14:paraId="1345107D" w14:textId="77777777" w:rsidR="00F12615" w:rsidRDefault="00F12615" w:rsidP="00B72F45">
      <w:pPr>
        <w:pStyle w:val="NTUnoindentNormal"/>
        <w:rPr>
          <w:rStyle w:val="Strong"/>
        </w:rPr>
      </w:pPr>
    </w:p>
    <w:p w14:paraId="47ADA80E" w14:textId="10AE8C32" w:rsidR="00B72F45" w:rsidRDefault="00B72F45" w:rsidP="00B72F45">
      <w:pPr>
        <w:pStyle w:val="NTUnoindentNormal"/>
        <w:rPr>
          <w:rStyle w:val="Strong"/>
        </w:rPr>
      </w:pPr>
      <w:r w:rsidRPr="00323B72">
        <w:rPr>
          <w:rStyle w:val="Strong"/>
        </w:rPr>
        <w:t>Plumbing</w:t>
      </w:r>
    </w:p>
    <w:p w14:paraId="6C14FE38" w14:textId="77777777" w:rsidR="00B72F45" w:rsidRDefault="00B72F45" w:rsidP="00B72F45">
      <w:pPr>
        <w:pStyle w:val="NTUnoindentNormal"/>
      </w:pPr>
      <w:r>
        <w:t>AS/NZS 2845 Water Supply – Backflow prevention devices – Materials, design and performance requirements</w:t>
      </w:r>
      <w:r>
        <w:br/>
        <w:t>NZS 7643 Installation of uPVC pipe systems</w:t>
      </w:r>
      <w:r>
        <w:br/>
        <w:t>AS/NZS 1477 PVC pipes for pressure applications</w:t>
      </w:r>
      <w:r>
        <w:br/>
        <w:t>AS/NZS 3879 Solvent cements and priming fluids for PVC (PVC-U and PVC-M) and ABS pipes and fittings</w:t>
      </w:r>
      <w:r>
        <w:br/>
        <w:t>BS 143 and 1256 Threaded pipe fittings in malleable cast iron and cast copper alloy</w:t>
      </w:r>
      <w:r>
        <w:br/>
        <w:t>BS EN 877 + A1 Cast iron pipes and fittings, their joints and accessories for the evacuation of water from buildings. Requirements, test methods and quality assurance</w:t>
      </w:r>
      <w:r>
        <w:br/>
        <w:t>BS EN 12502-3 Galvanised coatings</w:t>
      </w:r>
      <w:r>
        <w:br/>
        <w:t>NZS/BS 1387 Steel tubes for threading to BS21 pipe threads</w:t>
      </w:r>
      <w:r>
        <w:br/>
        <w:t>New Zealand Building Code (NZBC)</w:t>
      </w:r>
    </w:p>
    <w:p w14:paraId="23415C3A" w14:textId="77777777" w:rsidR="00F12615" w:rsidRPr="0020724F" w:rsidRDefault="00F12615" w:rsidP="00F12615">
      <w:pPr>
        <w:pStyle w:val="NTUnoindentNormal"/>
        <w:spacing w:before="240"/>
        <w:rPr>
          <w:rStyle w:val="Strong"/>
        </w:rPr>
      </w:pPr>
      <w:r w:rsidRPr="004E5695">
        <w:rPr>
          <w:rStyle w:val="Strong"/>
        </w:rPr>
        <w:t>Fire Fighting</w:t>
      </w:r>
    </w:p>
    <w:p w14:paraId="7DB432FE" w14:textId="22CD46C2" w:rsidR="00672C64" w:rsidRPr="00922337" w:rsidRDefault="00F12615" w:rsidP="00F12615">
      <w:pPr>
        <w:pStyle w:val="Title"/>
        <w:ind w:left="0"/>
        <w:rPr>
          <w:b w:val="0"/>
          <w:sz w:val="20"/>
          <w:szCs w:val="20"/>
          <w:lang w:val="en-GB" w:eastAsia="en-US"/>
        </w:rPr>
      </w:pPr>
      <w:r w:rsidRPr="00922337">
        <w:rPr>
          <w:b w:val="0"/>
          <w:sz w:val="20"/>
          <w:szCs w:val="20"/>
          <w:lang w:val="en-GB" w:eastAsia="en-US"/>
        </w:rPr>
        <w:t xml:space="preserve">SNZ PAS 4509:2008 New Zealand Fire Service Firefighting Water Supplies Code of </w:t>
      </w:r>
      <w:r w:rsidR="00F408CC" w:rsidRPr="00922337">
        <w:rPr>
          <w:b w:val="0"/>
          <w:sz w:val="20"/>
          <w:szCs w:val="20"/>
          <w:lang w:val="en-GB" w:eastAsia="en-US"/>
        </w:rPr>
        <w:t>Practice</w:t>
      </w:r>
    </w:p>
    <w:sectPr w:rsidR="00672C64" w:rsidRPr="0092233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0D2A" w14:textId="77777777" w:rsidR="006D0D4A" w:rsidRDefault="006D0D4A" w:rsidP="00B72F45">
      <w:pPr>
        <w:spacing w:after="0" w:line="240" w:lineRule="auto"/>
      </w:pPr>
      <w:r>
        <w:separator/>
      </w:r>
    </w:p>
  </w:endnote>
  <w:endnote w:type="continuationSeparator" w:id="0">
    <w:p w14:paraId="5EB5D861" w14:textId="77777777" w:rsidR="006D0D4A" w:rsidRDefault="006D0D4A" w:rsidP="00B7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Haas Grotesk Text Pro">
    <w:altName w:val="Neue Haas Grotesk Text Pro"/>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B702" w14:textId="77777777" w:rsidR="00F408CC" w:rsidRDefault="00F40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78A5" w14:textId="51D10477" w:rsidR="00B72F45" w:rsidRDefault="00B72F45" w:rsidP="004B3842">
    <w:pPr>
      <w:pBdr>
        <w:top w:val="nil"/>
        <w:left w:val="nil"/>
        <w:bottom w:val="nil"/>
        <w:right w:val="nil"/>
        <w:between w:val="nil"/>
      </w:pBdr>
      <w:tabs>
        <w:tab w:val="right" w:pos="9071"/>
      </w:tabs>
      <w:spacing w:before="40" w:after="40" w:line="240" w:lineRule="auto"/>
      <w:jc w:val="center"/>
      <w:rPr>
        <w:b/>
        <w:color w:val="9296B7"/>
        <w:sz w:val="16"/>
        <w:szCs w:val="16"/>
        <w:highlight w:val="yellow"/>
      </w:rPr>
    </w:pPr>
  </w:p>
  <w:p w14:paraId="3E742D48" w14:textId="54CCED61" w:rsidR="00B72F45" w:rsidRPr="00DE1E8D" w:rsidRDefault="00B72F45" w:rsidP="00786D65">
    <w:pPr>
      <w:jc w:val="center"/>
      <w:rPr>
        <w:sz w:val="18"/>
        <w:szCs w:val="18"/>
      </w:rPr>
    </w:pPr>
    <w:r w:rsidRPr="00C370F8">
      <w:fldChar w:fldCharType="begin"/>
    </w:r>
    <w:r w:rsidRPr="00C370F8">
      <w:instrText>PAGE</w:instrText>
    </w:r>
    <w:r w:rsidRPr="00C370F8">
      <w:fldChar w:fldCharType="separate"/>
    </w:r>
    <w:r>
      <w:t>1</w:t>
    </w:r>
    <w:r w:rsidRPr="00C370F8">
      <w:fldChar w:fldCharType="end"/>
    </w:r>
    <w:r w:rsidRPr="00C370F8">
      <w:t xml:space="preserve"> | </w:t>
    </w:r>
    <w:r>
      <w:t>National Engineering Design Standards</w:t>
    </w:r>
    <w:r w:rsidRPr="00C370F8">
      <w:t xml:space="preserve"> |</w:t>
    </w:r>
    <w:r w:rsidRPr="00C370F8">
      <w:rPr>
        <w:i/>
      </w:rPr>
      <w:t xml:space="preserve"> </w:t>
    </w:r>
    <w:r w:rsidR="003E6555">
      <w:rPr>
        <w:i/>
      </w:rPr>
      <w:t>PDC</w:t>
    </w:r>
    <w:r w:rsidRPr="00C370F8">
      <w:rPr>
        <w:i/>
      </w:rPr>
      <w:t xml:space="preserve"> </w:t>
    </w:r>
    <w:r>
      <w:rPr>
        <w:i/>
      </w:rPr>
      <w:t xml:space="preserve">Version 1 – </w:t>
    </w:r>
    <w:r w:rsidR="003E6555">
      <w:rPr>
        <w:i/>
      </w:rPr>
      <w:t>December</w:t>
    </w:r>
    <w:r>
      <w:rPr>
        <w:i/>
      </w:rPr>
      <w:t xml:space="preserve"> 2023</w:t>
    </w:r>
  </w:p>
  <w:p w14:paraId="09F9E6BF" w14:textId="77777777" w:rsidR="00B72F45" w:rsidRDefault="00B72F45" w:rsidP="00E470A6">
    <w:pPr>
      <w:pBdr>
        <w:top w:val="nil"/>
        <w:left w:val="nil"/>
        <w:bottom w:val="nil"/>
        <w:right w:val="nil"/>
        <w:between w:val="nil"/>
      </w:pBdr>
      <w:tabs>
        <w:tab w:val="right" w:pos="9071"/>
      </w:tabs>
      <w:spacing w:before="40" w:after="40" w:line="240" w:lineRule="auto"/>
      <w:rPr>
        <w:b/>
        <w:sz w:val="16"/>
        <w:szCs w:val="16"/>
      </w:rPr>
    </w:pPr>
    <w:r>
      <w:rPr>
        <w:b/>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00B72F45" w14:paraId="6544D204" w14:textId="77777777" w:rsidTr="00E470A6">
      <w:trPr>
        <w:trHeight w:val="300"/>
      </w:trPr>
      <w:tc>
        <w:tcPr>
          <w:tcW w:w="3590" w:type="dxa"/>
        </w:tcPr>
        <w:p w14:paraId="08749A91" w14:textId="77777777" w:rsidR="00B72F45" w:rsidRDefault="00B72F45" w:rsidP="00E470A6">
          <w:pPr>
            <w:pStyle w:val="Header"/>
            <w:ind w:left="-115"/>
          </w:pPr>
        </w:p>
      </w:tc>
      <w:tc>
        <w:tcPr>
          <w:tcW w:w="3590" w:type="dxa"/>
        </w:tcPr>
        <w:p w14:paraId="7C5A585B" w14:textId="77777777" w:rsidR="00B72F45" w:rsidRDefault="00B72F45" w:rsidP="00E470A6">
          <w:pPr>
            <w:pStyle w:val="Header"/>
            <w:jc w:val="center"/>
          </w:pPr>
        </w:p>
      </w:tc>
      <w:tc>
        <w:tcPr>
          <w:tcW w:w="3590" w:type="dxa"/>
        </w:tcPr>
        <w:p w14:paraId="30FC974A" w14:textId="77777777" w:rsidR="00B72F45" w:rsidRDefault="00B72F45" w:rsidP="00E470A6">
          <w:pPr>
            <w:pStyle w:val="Header"/>
            <w:ind w:right="-115"/>
            <w:jc w:val="right"/>
          </w:pPr>
        </w:p>
      </w:tc>
    </w:tr>
  </w:tbl>
  <w:p w14:paraId="1C39BF05" w14:textId="77777777" w:rsidR="00B72F45" w:rsidRDefault="00B72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FE71" w14:textId="77777777" w:rsidR="006D0D4A" w:rsidRDefault="006D0D4A" w:rsidP="00B72F45">
      <w:pPr>
        <w:spacing w:after="0" w:line="240" w:lineRule="auto"/>
      </w:pPr>
      <w:r>
        <w:separator/>
      </w:r>
    </w:p>
  </w:footnote>
  <w:footnote w:type="continuationSeparator" w:id="0">
    <w:p w14:paraId="78805715" w14:textId="77777777" w:rsidR="006D0D4A" w:rsidRDefault="006D0D4A" w:rsidP="00B72F45">
      <w:pPr>
        <w:spacing w:after="0" w:line="240" w:lineRule="auto"/>
      </w:pPr>
      <w:r>
        <w:continuationSeparator/>
      </w:r>
    </w:p>
  </w:footnote>
  <w:footnote w:id="1">
    <w:p w14:paraId="25559F2F" w14:textId="77777777" w:rsidR="00B96455" w:rsidRPr="005F497E" w:rsidRDefault="00B96455" w:rsidP="00B96455">
      <w:pPr>
        <w:pStyle w:val="FootnoteText"/>
        <w:rPr>
          <w:sz w:val="16"/>
          <w:szCs w:val="16"/>
        </w:rPr>
      </w:pPr>
      <w:r w:rsidRPr="005F497E">
        <w:rPr>
          <w:rStyle w:val="FootnoteReference"/>
          <w:sz w:val="16"/>
          <w:szCs w:val="16"/>
        </w:rPr>
        <w:footnoteRef/>
      </w:r>
      <w:r w:rsidRPr="005F497E">
        <w:rPr>
          <w:sz w:val="16"/>
          <w:szCs w:val="16"/>
        </w:rPr>
        <w:t xml:space="preserve"> </w:t>
      </w:r>
      <w:hyperlink r:id="rId1" w:history="1">
        <w:r w:rsidRPr="005F497E">
          <w:rPr>
            <w:rStyle w:val="Hyperlink"/>
            <w:sz w:val="16"/>
            <w:szCs w:val="16"/>
          </w:rPr>
          <w:t>https://environment.govt.nz/publications/national-policy-statement-for-freshwater-management-2020-amended-december-2022/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EEC5" w14:textId="04DF0303" w:rsidR="0019151E" w:rsidRDefault="0019151E">
    <w:pPr>
      <w:pStyle w:val="Header"/>
    </w:pPr>
    <w:r>
      <w:rPr>
        <w:noProof/>
        <w14:ligatures w14:val="standardContextual"/>
      </w:rPr>
      <mc:AlternateContent>
        <mc:Choice Requires="wps">
          <w:drawing>
            <wp:anchor distT="0" distB="0" distL="0" distR="0" simplePos="0" relativeHeight="251658240" behindDoc="0" locked="0" layoutInCell="1" allowOverlap="1" wp14:anchorId="7A833E9D" wp14:editId="523B0F0B">
              <wp:simplePos x="635" y="635"/>
              <wp:positionH relativeFrom="page">
                <wp:align>center</wp:align>
              </wp:positionH>
              <wp:positionV relativeFrom="page">
                <wp:align>top</wp:align>
              </wp:positionV>
              <wp:extent cx="785495" cy="357505"/>
              <wp:effectExtent l="0" t="0" r="14605" b="4445"/>
              <wp:wrapNone/>
              <wp:docPr id="1161377069"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5495" cy="357505"/>
                      </a:xfrm>
                      <a:prstGeom prst="rect">
                        <a:avLst/>
                      </a:prstGeom>
                      <a:noFill/>
                      <a:ln>
                        <a:noFill/>
                      </a:ln>
                    </wps:spPr>
                    <wps:txbx>
                      <w:txbxContent>
                        <w:p w14:paraId="7B861A45" w14:textId="62AAB03E" w:rsidR="0019151E" w:rsidRPr="0019151E" w:rsidRDefault="0019151E" w:rsidP="0019151E">
                          <w:pPr>
                            <w:spacing w:after="0"/>
                            <w:rPr>
                              <w:rFonts w:ascii="Aptos" w:eastAsia="Aptos" w:hAnsi="Aptos" w:cs="Aptos"/>
                              <w:noProof/>
                              <w:color w:val="000000"/>
                              <w:sz w:val="20"/>
                              <w:szCs w:val="20"/>
                            </w:rPr>
                          </w:pPr>
                          <w:r w:rsidRPr="0019151E">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833E9D" id="_x0000_t202" coordsize="21600,21600" o:spt="202" path="m,l,21600r21600,l21600,xe">
              <v:stroke joinstyle="miter"/>
              <v:path gradientshapeok="t" o:connecttype="rect"/>
            </v:shapetype>
            <v:shape id="Text Box 2" o:spid="_x0000_s1026" type="#_x0000_t202" alt="In-Confidence" style="position:absolute;margin-left:0;margin-top:0;width:61.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" filled="f" stroked="f">
              <v:fill o:detectmouseclick="t"/>
              <v:textbox style="mso-fit-shape-to-text:t" inset="0,15pt,0,0">
                <w:txbxContent>
                  <w:p w14:paraId="7B861A45" w14:textId="62AAB03E" w:rsidR="0019151E" w:rsidRPr="0019151E" w:rsidRDefault="0019151E" w:rsidP="0019151E">
                    <w:pPr>
                      <w:spacing w:after="0"/>
                      <w:rPr>
                        <w:rFonts w:ascii="Aptos" w:eastAsia="Aptos" w:hAnsi="Aptos" w:cs="Aptos"/>
                        <w:noProof/>
                        <w:color w:val="000000"/>
                        <w:sz w:val="20"/>
                        <w:szCs w:val="20"/>
                      </w:rPr>
                    </w:pPr>
                    <w:r w:rsidRPr="0019151E">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4C13" w14:textId="144E6193" w:rsidR="0019151E" w:rsidRDefault="00F408CC">
    <w:pPr>
      <w:pStyle w:val="Header"/>
    </w:pPr>
    <w:sdt>
      <w:sdtPr>
        <w:id w:val="1006868185"/>
        <w:docPartObj>
          <w:docPartGallery w:val="Watermarks"/>
          <w:docPartUnique/>
        </w:docPartObj>
      </w:sdtPr>
      <w:sdtContent>
        <w:r>
          <w:rPr>
            <w:noProof/>
          </w:rPr>
          <w:pict w14:anchorId="31827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9151E">
      <w:rPr>
        <w:noProof/>
        <w14:ligatures w14:val="standardContextual"/>
      </w:rPr>
      <mc:AlternateContent>
        <mc:Choice Requires="wps">
          <w:drawing>
            <wp:anchor distT="0" distB="0" distL="0" distR="0" simplePos="0" relativeHeight="251658241" behindDoc="0" locked="0" layoutInCell="1" allowOverlap="1" wp14:anchorId="1694611E" wp14:editId="65DE4C66">
              <wp:simplePos x="635" y="635"/>
              <wp:positionH relativeFrom="page">
                <wp:align>center</wp:align>
              </wp:positionH>
              <wp:positionV relativeFrom="page">
                <wp:align>top</wp:align>
              </wp:positionV>
              <wp:extent cx="785495" cy="357505"/>
              <wp:effectExtent l="0" t="0" r="14605" b="4445"/>
              <wp:wrapNone/>
              <wp:docPr id="444042272"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5495" cy="357505"/>
                      </a:xfrm>
                      <a:prstGeom prst="rect">
                        <a:avLst/>
                      </a:prstGeom>
                      <a:noFill/>
                      <a:ln>
                        <a:noFill/>
                      </a:ln>
                    </wps:spPr>
                    <wps:txbx>
                      <w:txbxContent>
                        <w:p w14:paraId="758BD132" w14:textId="62D99354" w:rsidR="0019151E" w:rsidRPr="0019151E" w:rsidRDefault="00905B3F" w:rsidP="0019151E">
                          <w:pPr>
                            <w:spacing w:after="0"/>
                            <w:rPr>
                              <w:rFonts w:ascii="Aptos" w:eastAsia="Aptos" w:hAnsi="Aptos" w:cs="Aptos"/>
                              <w:noProof/>
                              <w:color w:val="000000"/>
                              <w:sz w:val="20"/>
                              <w:szCs w:val="20"/>
                            </w:rPr>
                          </w:pPr>
                          <w:r>
                            <w:rPr>
                              <w:rFonts w:ascii="Aptos" w:eastAsia="Aptos" w:hAnsi="Aptos" w:cs="Aptos"/>
                              <w:noProof/>
                              <w:color w:val="000000"/>
                              <w:sz w:val="20"/>
                              <w:szCs w:val="20"/>
                            </w:rPr>
                            <w:t>NOT GOVERNMENT POLICY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94611E" id="_x0000_t202" coordsize="21600,21600" o:spt="202" path="m,l,21600r21600,l21600,xe">
              <v:stroke joinstyle="miter"/>
              <v:path gradientshapeok="t" o:connecttype="rect"/>
            </v:shapetype>
            <v:shape id="Text Box 3" o:spid="_x0000_s1027" type="#_x0000_t202" alt="In-Confidence" style="position:absolute;margin-left:0;margin-top:0;width:61.85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" filled="f" stroked="f">
              <v:fill o:detectmouseclick="t"/>
              <v:textbox style="mso-fit-shape-to-text:t" inset="0,15pt,0,0">
                <w:txbxContent>
                  <w:p w14:paraId="758BD132" w14:textId="62D99354" w:rsidR="0019151E" w:rsidRPr="0019151E" w:rsidRDefault="00905B3F" w:rsidP="0019151E">
                    <w:pPr>
                      <w:spacing w:after="0"/>
                      <w:rPr>
                        <w:rFonts w:ascii="Aptos" w:eastAsia="Aptos" w:hAnsi="Aptos" w:cs="Aptos"/>
                        <w:noProof/>
                        <w:color w:val="000000"/>
                        <w:sz w:val="20"/>
                        <w:szCs w:val="20"/>
                      </w:rPr>
                    </w:pPr>
                    <w:r>
                      <w:rPr>
                        <w:rFonts w:ascii="Aptos" w:eastAsia="Aptos" w:hAnsi="Aptos" w:cs="Aptos"/>
                        <w:noProof/>
                        <w:color w:val="000000"/>
                        <w:sz w:val="20"/>
                        <w:szCs w:val="20"/>
                      </w:rPr>
                      <w:t>NOT GOVERNMENT POLICY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7639" w14:textId="19E1D246" w:rsidR="0019151E" w:rsidRDefault="0019151E">
    <w:pPr>
      <w:pStyle w:val="Header"/>
    </w:pPr>
    <w:r>
      <w:rPr>
        <w:noProof/>
        <w14:ligatures w14:val="standardContextual"/>
      </w:rPr>
      <mc:AlternateContent>
        <mc:Choice Requires="wps">
          <w:drawing>
            <wp:anchor distT="0" distB="0" distL="0" distR="0" simplePos="0" relativeHeight="251658242" behindDoc="0" locked="0" layoutInCell="1" allowOverlap="1" wp14:anchorId="074C94E9" wp14:editId="6805911F">
              <wp:simplePos x="635" y="635"/>
              <wp:positionH relativeFrom="page">
                <wp:align>center</wp:align>
              </wp:positionH>
              <wp:positionV relativeFrom="page">
                <wp:align>top</wp:align>
              </wp:positionV>
              <wp:extent cx="785495" cy="357505"/>
              <wp:effectExtent l="0" t="0" r="14605" b="4445"/>
              <wp:wrapNone/>
              <wp:docPr id="2046530187"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5495" cy="357505"/>
                      </a:xfrm>
                      <a:prstGeom prst="rect">
                        <a:avLst/>
                      </a:prstGeom>
                      <a:noFill/>
                      <a:ln>
                        <a:noFill/>
                      </a:ln>
                    </wps:spPr>
                    <wps:txbx>
                      <w:txbxContent>
                        <w:p w14:paraId="6059987D" w14:textId="683BEB25" w:rsidR="0019151E" w:rsidRPr="0019151E" w:rsidRDefault="0019151E" w:rsidP="0019151E">
                          <w:pPr>
                            <w:spacing w:after="0"/>
                            <w:rPr>
                              <w:rFonts w:ascii="Aptos" w:eastAsia="Aptos" w:hAnsi="Aptos" w:cs="Aptos"/>
                              <w:noProof/>
                              <w:color w:val="000000"/>
                              <w:sz w:val="20"/>
                              <w:szCs w:val="20"/>
                            </w:rPr>
                          </w:pPr>
                          <w:r w:rsidRPr="0019151E">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4C94E9" id="_x0000_t202" coordsize="21600,21600" o:spt="202" path="m,l,21600r21600,l21600,xe">
              <v:stroke joinstyle="miter"/>
              <v:path gradientshapeok="t" o:connecttype="rect"/>
            </v:shapetype>
            <v:shape id="Text Box 1" o:spid="_x0000_s1028" type="#_x0000_t202" alt="In-Confidence" style="position:absolute;margin-left:0;margin-top:0;width:61.85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" filled="f" stroked="f">
              <v:fill o:detectmouseclick="t"/>
              <v:textbox style="mso-fit-shape-to-text:t" inset="0,15pt,0,0">
                <w:txbxContent>
                  <w:p w14:paraId="6059987D" w14:textId="683BEB25" w:rsidR="0019151E" w:rsidRPr="0019151E" w:rsidRDefault="0019151E" w:rsidP="0019151E">
                    <w:pPr>
                      <w:spacing w:after="0"/>
                      <w:rPr>
                        <w:rFonts w:ascii="Aptos" w:eastAsia="Aptos" w:hAnsi="Aptos" w:cs="Aptos"/>
                        <w:noProof/>
                        <w:color w:val="000000"/>
                        <w:sz w:val="20"/>
                        <w:szCs w:val="20"/>
                      </w:rPr>
                    </w:pPr>
                    <w:r w:rsidRPr="0019151E">
                      <w:rPr>
                        <w:rFonts w:ascii="Aptos" w:eastAsia="Aptos" w:hAnsi="Aptos" w:cs="Aptos"/>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560E"/>
    <w:multiLevelType w:val="hybridMultilevel"/>
    <w:tmpl w:val="21566890"/>
    <w:lvl w:ilvl="0" w:tplc="AEC6810C">
      <w:start w:val="1"/>
      <w:numFmt w:val="lowerLetter"/>
      <w:lvlText w:val="%1)"/>
      <w:lvlJc w:val="left"/>
      <w:pPr>
        <w:ind w:left="1837" w:hanging="397"/>
      </w:pPr>
      <w:rPr>
        <w:rFonts w:hint="default"/>
      </w:rPr>
    </w:lvl>
    <w:lvl w:ilvl="1" w:tplc="14090019" w:tentative="1">
      <w:start w:val="1"/>
      <w:numFmt w:val="lowerLetter"/>
      <w:lvlText w:val="%2."/>
      <w:lvlJc w:val="left"/>
      <w:pPr>
        <w:ind w:left="3393" w:hanging="360"/>
      </w:pPr>
    </w:lvl>
    <w:lvl w:ilvl="2" w:tplc="1409001B" w:tentative="1">
      <w:start w:val="1"/>
      <w:numFmt w:val="lowerRoman"/>
      <w:lvlText w:val="%3."/>
      <w:lvlJc w:val="right"/>
      <w:pPr>
        <w:ind w:left="4113" w:hanging="180"/>
      </w:pPr>
    </w:lvl>
    <w:lvl w:ilvl="3" w:tplc="1409000F" w:tentative="1">
      <w:start w:val="1"/>
      <w:numFmt w:val="decimal"/>
      <w:lvlText w:val="%4."/>
      <w:lvlJc w:val="left"/>
      <w:pPr>
        <w:ind w:left="4833" w:hanging="360"/>
      </w:pPr>
    </w:lvl>
    <w:lvl w:ilvl="4" w:tplc="14090019" w:tentative="1">
      <w:start w:val="1"/>
      <w:numFmt w:val="lowerLetter"/>
      <w:lvlText w:val="%5."/>
      <w:lvlJc w:val="left"/>
      <w:pPr>
        <w:ind w:left="5553" w:hanging="360"/>
      </w:pPr>
    </w:lvl>
    <w:lvl w:ilvl="5" w:tplc="1409001B" w:tentative="1">
      <w:start w:val="1"/>
      <w:numFmt w:val="lowerRoman"/>
      <w:lvlText w:val="%6."/>
      <w:lvlJc w:val="right"/>
      <w:pPr>
        <w:ind w:left="6273" w:hanging="180"/>
      </w:pPr>
    </w:lvl>
    <w:lvl w:ilvl="6" w:tplc="1409000F" w:tentative="1">
      <w:start w:val="1"/>
      <w:numFmt w:val="decimal"/>
      <w:lvlText w:val="%7."/>
      <w:lvlJc w:val="left"/>
      <w:pPr>
        <w:ind w:left="6993" w:hanging="360"/>
      </w:pPr>
    </w:lvl>
    <w:lvl w:ilvl="7" w:tplc="14090019" w:tentative="1">
      <w:start w:val="1"/>
      <w:numFmt w:val="lowerLetter"/>
      <w:lvlText w:val="%8."/>
      <w:lvlJc w:val="left"/>
      <w:pPr>
        <w:ind w:left="7713" w:hanging="360"/>
      </w:pPr>
    </w:lvl>
    <w:lvl w:ilvl="8" w:tplc="1409001B" w:tentative="1">
      <w:start w:val="1"/>
      <w:numFmt w:val="lowerRoman"/>
      <w:lvlText w:val="%9."/>
      <w:lvlJc w:val="right"/>
      <w:pPr>
        <w:ind w:left="8433" w:hanging="180"/>
      </w:pPr>
    </w:lvl>
  </w:abstractNum>
  <w:abstractNum w:abstractNumId="1" w15:restartNumberingAfterBreak="0">
    <w:nsid w:val="0EFC1B19"/>
    <w:multiLevelType w:val="hybridMultilevel"/>
    <w:tmpl w:val="14F8AEEE"/>
    <w:lvl w:ilvl="0" w:tplc="FFFFFFFF">
      <w:start w:val="1"/>
      <w:numFmt w:val="lowerLetter"/>
      <w:lvlText w:val="%1)"/>
      <w:lvlJc w:val="left"/>
      <w:pPr>
        <w:ind w:left="183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47C9C"/>
    <w:multiLevelType w:val="hybridMultilevel"/>
    <w:tmpl w:val="94286C7E"/>
    <w:lvl w:ilvl="0" w:tplc="09A08E98">
      <w:start w:val="1"/>
      <w:numFmt w:val="decimal"/>
      <w:pStyle w:val="HGNumbers0Margin"/>
      <w:lvlText w:val="%1."/>
      <w:lvlJc w:val="left"/>
      <w:pPr>
        <w:ind w:left="1077" w:hanging="357"/>
      </w:pPr>
      <w:rPr>
        <w:rFonts w:hint="default"/>
      </w:rPr>
    </w:lvl>
    <w:lvl w:ilvl="1" w:tplc="14090019">
      <w:start w:val="1"/>
      <w:numFmt w:val="lowerLetter"/>
      <w:lvlText w:val="%2."/>
      <w:lvlJc w:val="left"/>
      <w:pPr>
        <w:ind w:left="2154" w:hanging="360"/>
      </w:pPr>
    </w:lvl>
    <w:lvl w:ilvl="2" w:tplc="5DFC0712">
      <w:start w:val="1"/>
      <w:numFmt w:val="lowerLetter"/>
      <w:lvlText w:val="%3)"/>
      <w:lvlJc w:val="left"/>
      <w:pPr>
        <w:ind w:left="3054" w:hanging="360"/>
      </w:pPr>
      <w:rPr>
        <w:rFonts w:hint="default"/>
      </w:rPr>
    </w:lvl>
    <w:lvl w:ilvl="3" w:tplc="1409000F" w:tentative="1">
      <w:start w:val="1"/>
      <w:numFmt w:val="decimal"/>
      <w:lvlText w:val="%4."/>
      <w:lvlJc w:val="left"/>
      <w:pPr>
        <w:ind w:left="3594" w:hanging="360"/>
      </w:pPr>
    </w:lvl>
    <w:lvl w:ilvl="4" w:tplc="14090019" w:tentative="1">
      <w:start w:val="1"/>
      <w:numFmt w:val="lowerLetter"/>
      <w:lvlText w:val="%5."/>
      <w:lvlJc w:val="left"/>
      <w:pPr>
        <w:ind w:left="4314" w:hanging="360"/>
      </w:pPr>
    </w:lvl>
    <w:lvl w:ilvl="5" w:tplc="1409001B" w:tentative="1">
      <w:start w:val="1"/>
      <w:numFmt w:val="lowerRoman"/>
      <w:lvlText w:val="%6."/>
      <w:lvlJc w:val="right"/>
      <w:pPr>
        <w:ind w:left="5034" w:hanging="180"/>
      </w:pPr>
    </w:lvl>
    <w:lvl w:ilvl="6" w:tplc="1409000F" w:tentative="1">
      <w:start w:val="1"/>
      <w:numFmt w:val="decimal"/>
      <w:lvlText w:val="%7."/>
      <w:lvlJc w:val="left"/>
      <w:pPr>
        <w:ind w:left="5754" w:hanging="360"/>
      </w:pPr>
    </w:lvl>
    <w:lvl w:ilvl="7" w:tplc="14090019" w:tentative="1">
      <w:start w:val="1"/>
      <w:numFmt w:val="lowerLetter"/>
      <w:lvlText w:val="%8."/>
      <w:lvlJc w:val="left"/>
      <w:pPr>
        <w:ind w:left="6474" w:hanging="360"/>
      </w:pPr>
    </w:lvl>
    <w:lvl w:ilvl="8" w:tplc="1409001B" w:tentative="1">
      <w:start w:val="1"/>
      <w:numFmt w:val="lowerRoman"/>
      <w:lvlText w:val="%9."/>
      <w:lvlJc w:val="right"/>
      <w:pPr>
        <w:ind w:left="7194" w:hanging="180"/>
      </w:pPr>
    </w:lvl>
  </w:abstractNum>
  <w:abstractNum w:abstractNumId="3" w15:restartNumberingAfterBreak="0">
    <w:nsid w:val="15B327CF"/>
    <w:multiLevelType w:val="hybridMultilevel"/>
    <w:tmpl w:val="F7AAE0BE"/>
    <w:lvl w:ilvl="0" w:tplc="8116B5E4">
      <w:start w:val="1"/>
      <w:numFmt w:val="decimal"/>
      <w:pStyle w:val="NTU1Numbers"/>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5D415AB"/>
    <w:multiLevelType w:val="hybridMultilevel"/>
    <w:tmpl w:val="008C67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A1A102F"/>
    <w:multiLevelType w:val="hybridMultilevel"/>
    <w:tmpl w:val="3BE6604A"/>
    <w:lvl w:ilvl="0" w:tplc="14090017">
      <w:start w:val="1"/>
      <w:numFmt w:val="lowerLetter"/>
      <w:lvlText w:val="%1)"/>
      <w:lvlJc w:val="left"/>
      <w:pPr>
        <w:ind w:left="1800" w:hanging="360"/>
      </w:pPr>
    </w:lvl>
    <w:lvl w:ilvl="1" w:tplc="14090019">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6" w15:restartNumberingAfterBreak="0">
    <w:nsid w:val="2494696C"/>
    <w:multiLevelType w:val="hybridMultilevel"/>
    <w:tmpl w:val="C94AB892"/>
    <w:lvl w:ilvl="0" w:tplc="FFFFFFFF">
      <w:start w:val="1"/>
      <w:numFmt w:val="lowerLetter"/>
      <w:lvlText w:val="%1)"/>
      <w:lvlJc w:val="left"/>
      <w:pPr>
        <w:ind w:left="1837" w:hanging="397"/>
      </w:pPr>
      <w:rPr>
        <w:rFonts w:ascii="Calibri" w:eastAsia="Calibri" w:hAnsi="Calibri" w:cs="Calibri"/>
      </w:rPr>
    </w:lvl>
    <w:lvl w:ilvl="1" w:tplc="FFFFFFFF" w:tentative="1">
      <w:start w:val="1"/>
      <w:numFmt w:val="lowerLetter"/>
      <w:lvlText w:val="%2."/>
      <w:lvlJc w:val="left"/>
      <w:pPr>
        <w:ind w:left="3393" w:hanging="360"/>
      </w:pPr>
    </w:lvl>
    <w:lvl w:ilvl="2" w:tplc="FFFFFFFF" w:tentative="1">
      <w:start w:val="1"/>
      <w:numFmt w:val="lowerRoman"/>
      <w:lvlText w:val="%3."/>
      <w:lvlJc w:val="right"/>
      <w:pPr>
        <w:ind w:left="4113" w:hanging="180"/>
      </w:pPr>
    </w:lvl>
    <w:lvl w:ilvl="3" w:tplc="FFFFFFFF" w:tentative="1">
      <w:start w:val="1"/>
      <w:numFmt w:val="decimal"/>
      <w:lvlText w:val="%4."/>
      <w:lvlJc w:val="left"/>
      <w:pPr>
        <w:ind w:left="4833" w:hanging="360"/>
      </w:pPr>
    </w:lvl>
    <w:lvl w:ilvl="4" w:tplc="FFFFFFFF" w:tentative="1">
      <w:start w:val="1"/>
      <w:numFmt w:val="lowerLetter"/>
      <w:lvlText w:val="%5."/>
      <w:lvlJc w:val="left"/>
      <w:pPr>
        <w:ind w:left="5553" w:hanging="360"/>
      </w:pPr>
    </w:lvl>
    <w:lvl w:ilvl="5" w:tplc="FFFFFFFF" w:tentative="1">
      <w:start w:val="1"/>
      <w:numFmt w:val="lowerRoman"/>
      <w:lvlText w:val="%6."/>
      <w:lvlJc w:val="right"/>
      <w:pPr>
        <w:ind w:left="6273" w:hanging="180"/>
      </w:pPr>
    </w:lvl>
    <w:lvl w:ilvl="6" w:tplc="FFFFFFFF" w:tentative="1">
      <w:start w:val="1"/>
      <w:numFmt w:val="decimal"/>
      <w:lvlText w:val="%7."/>
      <w:lvlJc w:val="left"/>
      <w:pPr>
        <w:ind w:left="6993" w:hanging="360"/>
      </w:pPr>
    </w:lvl>
    <w:lvl w:ilvl="7" w:tplc="FFFFFFFF" w:tentative="1">
      <w:start w:val="1"/>
      <w:numFmt w:val="lowerLetter"/>
      <w:lvlText w:val="%8."/>
      <w:lvlJc w:val="left"/>
      <w:pPr>
        <w:ind w:left="7713" w:hanging="360"/>
      </w:pPr>
    </w:lvl>
    <w:lvl w:ilvl="8" w:tplc="FFFFFFFF" w:tentative="1">
      <w:start w:val="1"/>
      <w:numFmt w:val="lowerRoman"/>
      <w:lvlText w:val="%9."/>
      <w:lvlJc w:val="right"/>
      <w:pPr>
        <w:ind w:left="8433" w:hanging="180"/>
      </w:pPr>
    </w:lvl>
  </w:abstractNum>
  <w:abstractNum w:abstractNumId="7" w15:restartNumberingAfterBreak="0">
    <w:nsid w:val="2B70132A"/>
    <w:multiLevelType w:val="hybridMultilevel"/>
    <w:tmpl w:val="C94AB892"/>
    <w:lvl w:ilvl="0" w:tplc="4288B372">
      <w:start w:val="1"/>
      <w:numFmt w:val="lowerLetter"/>
      <w:lvlText w:val="%1)"/>
      <w:lvlJc w:val="left"/>
      <w:pPr>
        <w:ind w:left="1837" w:hanging="397"/>
      </w:pPr>
      <w:rPr>
        <w:rFonts w:ascii="Calibri" w:eastAsia="Calibri" w:hAnsi="Calibri" w:cs="Calibri"/>
      </w:rPr>
    </w:lvl>
    <w:lvl w:ilvl="1" w:tplc="FFFFFFFF" w:tentative="1">
      <w:start w:val="1"/>
      <w:numFmt w:val="lowerLetter"/>
      <w:lvlText w:val="%2."/>
      <w:lvlJc w:val="left"/>
      <w:pPr>
        <w:ind w:left="3393" w:hanging="360"/>
      </w:pPr>
    </w:lvl>
    <w:lvl w:ilvl="2" w:tplc="FFFFFFFF" w:tentative="1">
      <w:start w:val="1"/>
      <w:numFmt w:val="lowerRoman"/>
      <w:lvlText w:val="%3."/>
      <w:lvlJc w:val="right"/>
      <w:pPr>
        <w:ind w:left="4113" w:hanging="180"/>
      </w:pPr>
    </w:lvl>
    <w:lvl w:ilvl="3" w:tplc="FFFFFFFF" w:tentative="1">
      <w:start w:val="1"/>
      <w:numFmt w:val="decimal"/>
      <w:lvlText w:val="%4."/>
      <w:lvlJc w:val="left"/>
      <w:pPr>
        <w:ind w:left="4833" w:hanging="360"/>
      </w:pPr>
    </w:lvl>
    <w:lvl w:ilvl="4" w:tplc="FFFFFFFF" w:tentative="1">
      <w:start w:val="1"/>
      <w:numFmt w:val="lowerLetter"/>
      <w:lvlText w:val="%5."/>
      <w:lvlJc w:val="left"/>
      <w:pPr>
        <w:ind w:left="5553" w:hanging="360"/>
      </w:pPr>
    </w:lvl>
    <w:lvl w:ilvl="5" w:tplc="FFFFFFFF" w:tentative="1">
      <w:start w:val="1"/>
      <w:numFmt w:val="lowerRoman"/>
      <w:lvlText w:val="%6."/>
      <w:lvlJc w:val="right"/>
      <w:pPr>
        <w:ind w:left="6273" w:hanging="180"/>
      </w:pPr>
    </w:lvl>
    <w:lvl w:ilvl="6" w:tplc="FFFFFFFF" w:tentative="1">
      <w:start w:val="1"/>
      <w:numFmt w:val="decimal"/>
      <w:lvlText w:val="%7."/>
      <w:lvlJc w:val="left"/>
      <w:pPr>
        <w:ind w:left="6993" w:hanging="360"/>
      </w:pPr>
    </w:lvl>
    <w:lvl w:ilvl="7" w:tplc="FFFFFFFF" w:tentative="1">
      <w:start w:val="1"/>
      <w:numFmt w:val="lowerLetter"/>
      <w:lvlText w:val="%8."/>
      <w:lvlJc w:val="left"/>
      <w:pPr>
        <w:ind w:left="7713" w:hanging="360"/>
      </w:pPr>
    </w:lvl>
    <w:lvl w:ilvl="8" w:tplc="FFFFFFFF" w:tentative="1">
      <w:start w:val="1"/>
      <w:numFmt w:val="lowerRoman"/>
      <w:lvlText w:val="%9."/>
      <w:lvlJc w:val="right"/>
      <w:pPr>
        <w:ind w:left="8433" w:hanging="180"/>
      </w:pPr>
    </w:lvl>
  </w:abstractNum>
  <w:abstractNum w:abstractNumId="8" w15:restartNumberingAfterBreak="0">
    <w:nsid w:val="2D2F235F"/>
    <w:multiLevelType w:val="hybridMultilevel"/>
    <w:tmpl w:val="A2C28234"/>
    <w:lvl w:ilvl="0" w:tplc="6D1E9EBE">
      <w:start w:val="1"/>
      <w:numFmt w:val="lowerRoman"/>
      <w:pStyle w:val="NTUiibullet"/>
      <w:lvlText w:val="%1."/>
      <w:lvlJc w:val="right"/>
      <w:pPr>
        <w:ind w:left="2160" w:hanging="360"/>
      </w:pPr>
      <w:rPr>
        <w:b w:val="0"/>
        <w:bCs w:val="0"/>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30363240"/>
    <w:multiLevelType w:val="hybridMultilevel"/>
    <w:tmpl w:val="3AE82E16"/>
    <w:lvl w:ilvl="0" w:tplc="4E72C9CC">
      <w:start w:val="1"/>
      <w:numFmt w:val="lowerLetter"/>
      <w:pStyle w:val="NTUanumbering"/>
      <w:lvlText w:val="%1)"/>
      <w:lvlJc w:val="left"/>
      <w:pPr>
        <w:ind w:left="1353" w:hanging="360"/>
      </w:pPr>
    </w:lvl>
    <w:lvl w:ilvl="1" w:tplc="62B8B19E">
      <w:start w:val="1"/>
      <w:numFmt w:val="lowerRoman"/>
      <w:lvlText w:val="(%2)"/>
      <w:lvlJc w:val="left"/>
      <w:pPr>
        <w:ind w:left="2520" w:hanging="720"/>
      </w:pPr>
      <w:rPr>
        <w:rFonts w:hint="default"/>
      </w:rPr>
    </w:lvl>
    <w:lvl w:ilvl="2" w:tplc="B33EBF52">
      <w:start w:val="1"/>
      <w:numFmt w:val="decimal"/>
      <w:lvlText w:val="%3."/>
      <w:lvlJc w:val="left"/>
      <w:pPr>
        <w:ind w:left="3060" w:hanging="360"/>
      </w:pPr>
      <w:rPr>
        <w:rFonts w:hint="default"/>
      </w:r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3934345B"/>
    <w:multiLevelType w:val="hybridMultilevel"/>
    <w:tmpl w:val="A3568B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CAC5E94"/>
    <w:multiLevelType w:val="hybridMultilevel"/>
    <w:tmpl w:val="25F223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D2E5C6C"/>
    <w:multiLevelType w:val="hybridMultilevel"/>
    <w:tmpl w:val="14F8AEEE"/>
    <w:lvl w:ilvl="0" w:tplc="FFFFFFFF">
      <w:start w:val="1"/>
      <w:numFmt w:val="lowerLetter"/>
      <w:lvlText w:val="%1)"/>
      <w:lvlJc w:val="left"/>
      <w:pPr>
        <w:ind w:left="183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BE01C1"/>
    <w:multiLevelType w:val="hybridMultilevel"/>
    <w:tmpl w:val="14F8AEEE"/>
    <w:lvl w:ilvl="0" w:tplc="87F8C20E">
      <w:start w:val="1"/>
      <w:numFmt w:val="lowerLetter"/>
      <w:lvlText w:val="%1)"/>
      <w:lvlJc w:val="left"/>
      <w:pPr>
        <w:ind w:left="1837" w:hanging="39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93513D2"/>
    <w:multiLevelType w:val="hybridMultilevel"/>
    <w:tmpl w:val="21566890"/>
    <w:lvl w:ilvl="0" w:tplc="FFFFFFFF">
      <w:start w:val="1"/>
      <w:numFmt w:val="lowerLetter"/>
      <w:lvlText w:val="%1)"/>
      <w:lvlJc w:val="left"/>
      <w:pPr>
        <w:ind w:left="1837" w:hanging="397"/>
      </w:pPr>
      <w:rPr>
        <w:rFonts w:hint="default"/>
      </w:rPr>
    </w:lvl>
    <w:lvl w:ilvl="1" w:tplc="FFFFFFFF" w:tentative="1">
      <w:start w:val="1"/>
      <w:numFmt w:val="lowerLetter"/>
      <w:lvlText w:val="%2."/>
      <w:lvlJc w:val="left"/>
      <w:pPr>
        <w:ind w:left="3393" w:hanging="360"/>
      </w:pPr>
    </w:lvl>
    <w:lvl w:ilvl="2" w:tplc="FFFFFFFF" w:tentative="1">
      <w:start w:val="1"/>
      <w:numFmt w:val="lowerRoman"/>
      <w:lvlText w:val="%3."/>
      <w:lvlJc w:val="right"/>
      <w:pPr>
        <w:ind w:left="4113" w:hanging="180"/>
      </w:pPr>
    </w:lvl>
    <w:lvl w:ilvl="3" w:tplc="FFFFFFFF" w:tentative="1">
      <w:start w:val="1"/>
      <w:numFmt w:val="decimal"/>
      <w:lvlText w:val="%4."/>
      <w:lvlJc w:val="left"/>
      <w:pPr>
        <w:ind w:left="4833" w:hanging="360"/>
      </w:pPr>
    </w:lvl>
    <w:lvl w:ilvl="4" w:tplc="FFFFFFFF" w:tentative="1">
      <w:start w:val="1"/>
      <w:numFmt w:val="lowerLetter"/>
      <w:lvlText w:val="%5."/>
      <w:lvlJc w:val="left"/>
      <w:pPr>
        <w:ind w:left="5553" w:hanging="360"/>
      </w:pPr>
    </w:lvl>
    <w:lvl w:ilvl="5" w:tplc="FFFFFFFF" w:tentative="1">
      <w:start w:val="1"/>
      <w:numFmt w:val="lowerRoman"/>
      <w:lvlText w:val="%6."/>
      <w:lvlJc w:val="right"/>
      <w:pPr>
        <w:ind w:left="6273" w:hanging="180"/>
      </w:pPr>
    </w:lvl>
    <w:lvl w:ilvl="6" w:tplc="FFFFFFFF" w:tentative="1">
      <w:start w:val="1"/>
      <w:numFmt w:val="decimal"/>
      <w:lvlText w:val="%7."/>
      <w:lvlJc w:val="left"/>
      <w:pPr>
        <w:ind w:left="6993" w:hanging="360"/>
      </w:pPr>
    </w:lvl>
    <w:lvl w:ilvl="7" w:tplc="FFFFFFFF" w:tentative="1">
      <w:start w:val="1"/>
      <w:numFmt w:val="lowerLetter"/>
      <w:lvlText w:val="%8."/>
      <w:lvlJc w:val="left"/>
      <w:pPr>
        <w:ind w:left="7713" w:hanging="360"/>
      </w:pPr>
    </w:lvl>
    <w:lvl w:ilvl="8" w:tplc="FFFFFFFF" w:tentative="1">
      <w:start w:val="1"/>
      <w:numFmt w:val="lowerRoman"/>
      <w:lvlText w:val="%9."/>
      <w:lvlJc w:val="right"/>
      <w:pPr>
        <w:ind w:left="8433" w:hanging="180"/>
      </w:pPr>
    </w:lvl>
  </w:abstractNum>
  <w:num w:numId="1" w16cid:durableId="2100783020">
    <w:abstractNumId w:val="2"/>
    <w:lvlOverride w:ilvl="0">
      <w:startOverride w:val="1"/>
    </w:lvlOverride>
  </w:num>
  <w:num w:numId="2" w16cid:durableId="860514055">
    <w:abstractNumId w:val="2"/>
    <w:lvlOverride w:ilvl="0">
      <w:startOverride w:val="1"/>
    </w:lvlOverride>
  </w:num>
  <w:num w:numId="3" w16cid:durableId="871527825">
    <w:abstractNumId w:val="5"/>
  </w:num>
  <w:num w:numId="4" w16cid:durableId="580214485">
    <w:abstractNumId w:val="0"/>
    <w:lvlOverride w:ilvl="0">
      <w:startOverride w:val="1"/>
    </w:lvlOverride>
  </w:num>
  <w:num w:numId="5" w16cid:durableId="432559133">
    <w:abstractNumId w:val="0"/>
    <w:lvlOverride w:ilvl="0">
      <w:startOverride w:val="1"/>
    </w:lvlOverride>
  </w:num>
  <w:num w:numId="6" w16cid:durableId="129520642">
    <w:abstractNumId w:val="0"/>
    <w:lvlOverride w:ilvl="0">
      <w:startOverride w:val="1"/>
    </w:lvlOverride>
  </w:num>
  <w:num w:numId="7" w16cid:durableId="1631131085">
    <w:abstractNumId w:val="9"/>
    <w:lvlOverride w:ilvl="0">
      <w:startOverride w:val="1"/>
    </w:lvlOverride>
  </w:num>
  <w:num w:numId="8" w16cid:durableId="1408768106">
    <w:abstractNumId w:val="9"/>
    <w:lvlOverride w:ilvl="0">
      <w:startOverride w:val="1"/>
    </w:lvlOverride>
  </w:num>
  <w:num w:numId="9" w16cid:durableId="1944069565">
    <w:abstractNumId w:val="9"/>
    <w:lvlOverride w:ilvl="0">
      <w:startOverride w:val="1"/>
    </w:lvlOverride>
  </w:num>
  <w:num w:numId="10" w16cid:durableId="81144452">
    <w:abstractNumId w:val="9"/>
  </w:num>
  <w:num w:numId="11" w16cid:durableId="666400537">
    <w:abstractNumId w:val="2"/>
  </w:num>
  <w:num w:numId="12" w16cid:durableId="2087603068">
    <w:abstractNumId w:val="3"/>
  </w:num>
  <w:num w:numId="13" w16cid:durableId="330255386">
    <w:abstractNumId w:val="0"/>
  </w:num>
  <w:num w:numId="14" w16cid:durableId="2019578119">
    <w:abstractNumId w:val="8"/>
  </w:num>
  <w:num w:numId="15" w16cid:durableId="1919249050">
    <w:abstractNumId w:val="0"/>
    <w:lvlOverride w:ilvl="0">
      <w:startOverride w:val="1"/>
    </w:lvlOverride>
  </w:num>
  <w:num w:numId="16" w16cid:durableId="1022442084">
    <w:abstractNumId w:val="0"/>
    <w:lvlOverride w:ilvl="0">
      <w:startOverride w:val="1"/>
    </w:lvlOverride>
  </w:num>
  <w:num w:numId="17" w16cid:durableId="1899633016">
    <w:abstractNumId w:val="0"/>
    <w:lvlOverride w:ilvl="0">
      <w:startOverride w:val="1"/>
    </w:lvlOverride>
  </w:num>
  <w:num w:numId="18" w16cid:durableId="366028178">
    <w:abstractNumId w:val="0"/>
    <w:lvlOverride w:ilvl="0">
      <w:startOverride w:val="1"/>
    </w:lvlOverride>
  </w:num>
  <w:num w:numId="19" w16cid:durableId="1243564534">
    <w:abstractNumId w:val="4"/>
  </w:num>
  <w:num w:numId="20" w16cid:durableId="1956937588">
    <w:abstractNumId w:val="0"/>
    <w:lvlOverride w:ilvl="0">
      <w:startOverride w:val="1"/>
    </w:lvlOverride>
  </w:num>
  <w:num w:numId="21" w16cid:durableId="1105925572">
    <w:abstractNumId w:val="0"/>
    <w:lvlOverride w:ilvl="0">
      <w:startOverride w:val="1"/>
    </w:lvlOverride>
  </w:num>
  <w:num w:numId="22" w16cid:durableId="1561743358">
    <w:abstractNumId w:val="0"/>
    <w:lvlOverride w:ilvl="0">
      <w:startOverride w:val="1"/>
    </w:lvlOverride>
  </w:num>
  <w:num w:numId="23" w16cid:durableId="771557339">
    <w:abstractNumId w:val="0"/>
    <w:lvlOverride w:ilvl="0">
      <w:startOverride w:val="1"/>
    </w:lvlOverride>
  </w:num>
  <w:num w:numId="24" w16cid:durableId="1047296833">
    <w:abstractNumId w:val="0"/>
    <w:lvlOverride w:ilvl="0">
      <w:startOverride w:val="1"/>
    </w:lvlOverride>
  </w:num>
  <w:num w:numId="25" w16cid:durableId="1434938852">
    <w:abstractNumId w:val="0"/>
    <w:lvlOverride w:ilvl="0">
      <w:startOverride w:val="1"/>
    </w:lvlOverride>
  </w:num>
  <w:num w:numId="26" w16cid:durableId="1540312272">
    <w:abstractNumId w:val="0"/>
    <w:lvlOverride w:ilvl="0">
      <w:startOverride w:val="1"/>
    </w:lvlOverride>
  </w:num>
  <w:num w:numId="27" w16cid:durableId="273447168">
    <w:abstractNumId w:val="0"/>
    <w:lvlOverride w:ilvl="0">
      <w:startOverride w:val="1"/>
    </w:lvlOverride>
  </w:num>
  <w:num w:numId="28" w16cid:durableId="526407446">
    <w:abstractNumId w:val="11"/>
  </w:num>
  <w:num w:numId="29" w16cid:durableId="726729399">
    <w:abstractNumId w:val="9"/>
    <w:lvlOverride w:ilvl="0">
      <w:startOverride w:val="1"/>
    </w:lvlOverride>
  </w:num>
  <w:num w:numId="30" w16cid:durableId="1558006938">
    <w:abstractNumId w:val="0"/>
    <w:lvlOverride w:ilvl="0">
      <w:startOverride w:val="1"/>
    </w:lvlOverride>
  </w:num>
  <w:num w:numId="31" w16cid:durableId="1527984900">
    <w:abstractNumId w:val="9"/>
    <w:lvlOverride w:ilvl="0">
      <w:startOverride w:val="1"/>
    </w:lvlOverride>
  </w:num>
  <w:num w:numId="32" w16cid:durableId="362446017">
    <w:abstractNumId w:val="13"/>
  </w:num>
  <w:num w:numId="33" w16cid:durableId="1770467475">
    <w:abstractNumId w:val="12"/>
  </w:num>
  <w:num w:numId="34" w16cid:durableId="1028874512">
    <w:abstractNumId w:val="1"/>
  </w:num>
  <w:num w:numId="35" w16cid:durableId="27413805">
    <w:abstractNumId w:val="0"/>
    <w:lvlOverride w:ilvl="0">
      <w:startOverride w:val="1"/>
    </w:lvlOverride>
  </w:num>
  <w:num w:numId="36" w16cid:durableId="395201315">
    <w:abstractNumId w:val="14"/>
  </w:num>
  <w:num w:numId="37" w16cid:durableId="1509099943">
    <w:abstractNumId w:val="7"/>
  </w:num>
  <w:num w:numId="38" w16cid:durableId="2121996457">
    <w:abstractNumId w:val="10"/>
  </w:num>
  <w:num w:numId="39" w16cid:durableId="441847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45"/>
    <w:rsid w:val="00015F91"/>
    <w:rsid w:val="00123B99"/>
    <w:rsid w:val="00152069"/>
    <w:rsid w:val="0019151E"/>
    <w:rsid w:val="0019778F"/>
    <w:rsid w:val="001C2940"/>
    <w:rsid w:val="0025550D"/>
    <w:rsid w:val="002D5BE7"/>
    <w:rsid w:val="002D7057"/>
    <w:rsid w:val="00363C49"/>
    <w:rsid w:val="00377EEA"/>
    <w:rsid w:val="00380943"/>
    <w:rsid w:val="003E6555"/>
    <w:rsid w:val="00400985"/>
    <w:rsid w:val="004175AF"/>
    <w:rsid w:val="00451887"/>
    <w:rsid w:val="004619ED"/>
    <w:rsid w:val="00480366"/>
    <w:rsid w:val="0053449D"/>
    <w:rsid w:val="00545400"/>
    <w:rsid w:val="00554097"/>
    <w:rsid w:val="00595D60"/>
    <w:rsid w:val="005D1701"/>
    <w:rsid w:val="006138A9"/>
    <w:rsid w:val="00632ECC"/>
    <w:rsid w:val="00672C64"/>
    <w:rsid w:val="00686B35"/>
    <w:rsid w:val="006879F5"/>
    <w:rsid w:val="006D0D4A"/>
    <w:rsid w:val="00730875"/>
    <w:rsid w:val="00743254"/>
    <w:rsid w:val="00757E89"/>
    <w:rsid w:val="0077153F"/>
    <w:rsid w:val="00885A59"/>
    <w:rsid w:val="008C61A0"/>
    <w:rsid w:val="008D15C3"/>
    <w:rsid w:val="008D2A94"/>
    <w:rsid w:val="00902F4D"/>
    <w:rsid w:val="00905B3F"/>
    <w:rsid w:val="00907B9C"/>
    <w:rsid w:val="0091198D"/>
    <w:rsid w:val="00922337"/>
    <w:rsid w:val="00966C63"/>
    <w:rsid w:val="009714C5"/>
    <w:rsid w:val="00974385"/>
    <w:rsid w:val="0098200B"/>
    <w:rsid w:val="009F0FD0"/>
    <w:rsid w:val="00A2368F"/>
    <w:rsid w:val="00A67A99"/>
    <w:rsid w:val="00A76558"/>
    <w:rsid w:val="00AC68FB"/>
    <w:rsid w:val="00AD719C"/>
    <w:rsid w:val="00AE7EB3"/>
    <w:rsid w:val="00AF66E3"/>
    <w:rsid w:val="00B34D21"/>
    <w:rsid w:val="00B65F61"/>
    <w:rsid w:val="00B72F45"/>
    <w:rsid w:val="00B96455"/>
    <w:rsid w:val="00BD45AD"/>
    <w:rsid w:val="00C16227"/>
    <w:rsid w:val="00C1635C"/>
    <w:rsid w:val="00C273D0"/>
    <w:rsid w:val="00C417A6"/>
    <w:rsid w:val="00C47106"/>
    <w:rsid w:val="00C70ECE"/>
    <w:rsid w:val="00C746B2"/>
    <w:rsid w:val="00CB0AFD"/>
    <w:rsid w:val="00CF2D9E"/>
    <w:rsid w:val="00CF6D00"/>
    <w:rsid w:val="00CF7EF1"/>
    <w:rsid w:val="00D00A1C"/>
    <w:rsid w:val="00D64133"/>
    <w:rsid w:val="00D82480"/>
    <w:rsid w:val="00DA5274"/>
    <w:rsid w:val="00E41686"/>
    <w:rsid w:val="00E75961"/>
    <w:rsid w:val="00ED0E3D"/>
    <w:rsid w:val="00EF71BC"/>
    <w:rsid w:val="00F12615"/>
    <w:rsid w:val="00F276DB"/>
    <w:rsid w:val="00F408CC"/>
    <w:rsid w:val="00F52F98"/>
    <w:rsid w:val="00F60DED"/>
    <w:rsid w:val="00F66481"/>
    <w:rsid w:val="00F7383C"/>
    <w:rsid w:val="00F86E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61CB2"/>
  <w15:chartTrackingRefBased/>
  <w15:docId w15:val="{D7969C89-8F6A-4127-98D6-A7E02B7E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9D"/>
  </w:style>
  <w:style w:type="paragraph" w:styleId="Heading1">
    <w:name w:val="heading 1"/>
    <w:basedOn w:val="Normal"/>
    <w:next w:val="Normal"/>
    <w:link w:val="Heading1Char"/>
    <w:uiPriority w:val="2"/>
    <w:qFormat/>
    <w:rsid w:val="00B72F45"/>
    <w:pPr>
      <w:keepNext/>
      <w:keepLines/>
      <w:spacing w:before="240" w:after="0"/>
      <w:outlineLvl w:val="0"/>
    </w:pPr>
    <w:rPr>
      <w:rFonts w:asciiTheme="majorHAnsi" w:eastAsiaTheme="majorEastAsia" w:hAnsiTheme="majorHAnsi" w:cstheme="majorBidi"/>
      <w:color w:val="C2DA53" w:themeColor="accent1" w:themeShade="BF"/>
      <w:sz w:val="32"/>
      <w:szCs w:val="32"/>
    </w:rPr>
  </w:style>
  <w:style w:type="paragraph" w:styleId="Heading2">
    <w:name w:val="heading 2"/>
    <w:basedOn w:val="Normal"/>
    <w:next w:val="Normal"/>
    <w:link w:val="Heading2Char"/>
    <w:uiPriority w:val="2"/>
    <w:unhideWhenUsed/>
    <w:qFormat/>
    <w:rsid w:val="00B72F45"/>
    <w:pPr>
      <w:keepNext/>
      <w:keepLines/>
      <w:spacing w:before="40" w:after="0"/>
      <w:outlineLvl w:val="1"/>
    </w:pPr>
    <w:rPr>
      <w:rFonts w:asciiTheme="majorHAnsi" w:eastAsiaTheme="majorEastAsia" w:hAnsiTheme="majorHAnsi" w:cstheme="majorBidi"/>
      <w:color w:val="C2DA53" w:themeColor="accent1" w:themeShade="BF"/>
      <w:sz w:val="26"/>
      <w:szCs w:val="26"/>
    </w:rPr>
  </w:style>
  <w:style w:type="paragraph" w:styleId="Heading3">
    <w:name w:val="heading 3"/>
    <w:basedOn w:val="Normal"/>
    <w:next w:val="Normal"/>
    <w:link w:val="Heading3Char"/>
    <w:uiPriority w:val="2"/>
    <w:unhideWhenUsed/>
    <w:qFormat/>
    <w:rsid w:val="00B72F45"/>
    <w:pPr>
      <w:keepNext/>
      <w:keepLines/>
      <w:spacing w:before="40" w:after="0"/>
      <w:outlineLvl w:val="2"/>
    </w:pPr>
    <w:rPr>
      <w:rFonts w:asciiTheme="majorHAnsi" w:eastAsiaTheme="majorEastAsia" w:hAnsiTheme="majorHAnsi" w:cstheme="majorBidi"/>
      <w:color w:val="8EA423" w:themeColor="accent1" w:themeShade="7F"/>
      <w:sz w:val="24"/>
      <w:szCs w:val="24"/>
    </w:rPr>
  </w:style>
  <w:style w:type="paragraph" w:styleId="Heading4">
    <w:name w:val="heading 4"/>
    <w:basedOn w:val="Heading3"/>
    <w:link w:val="Heading4Char"/>
    <w:uiPriority w:val="2"/>
    <w:qFormat/>
    <w:rsid w:val="00F12615"/>
    <w:pPr>
      <w:keepNext w:val="0"/>
      <w:keepLines w:val="0"/>
      <w:tabs>
        <w:tab w:val="num" w:pos="567"/>
      </w:tabs>
      <w:spacing w:before="200" w:line="240" w:lineRule="atLeast"/>
      <w:ind w:left="1134" w:hanging="567"/>
      <w:outlineLvl w:val="3"/>
    </w:pPr>
    <w:rPr>
      <w:rFonts w:asciiTheme="minorHAnsi" w:hAnsiTheme="minorHAnsi"/>
      <w:iCs/>
      <w:color w:val="auto"/>
      <w:kern w:val="0"/>
      <w:sz w:val="18"/>
      <w:szCs w:val="20"/>
      <w14:ligatures w14:val="none"/>
    </w:rPr>
  </w:style>
  <w:style w:type="paragraph" w:styleId="Heading5">
    <w:name w:val="heading 5"/>
    <w:basedOn w:val="Heading4"/>
    <w:link w:val="Heading5Char"/>
    <w:uiPriority w:val="2"/>
    <w:qFormat/>
    <w:rsid w:val="00F12615"/>
    <w:pPr>
      <w:outlineLvl w:val="4"/>
    </w:pPr>
    <w:rPr>
      <w:szCs w:val="16"/>
    </w:rPr>
  </w:style>
  <w:style w:type="paragraph" w:styleId="Heading6">
    <w:name w:val="heading 6"/>
    <w:basedOn w:val="Heading5"/>
    <w:link w:val="Heading6Char"/>
    <w:uiPriority w:val="2"/>
    <w:qFormat/>
    <w:rsid w:val="00F12615"/>
    <w:pPr>
      <w:tabs>
        <w:tab w:val="clear" w:pos="567"/>
      </w:tabs>
      <w:ind w:left="567"/>
      <w:outlineLvl w:val="5"/>
    </w:pPr>
  </w:style>
  <w:style w:type="paragraph" w:styleId="Heading7">
    <w:name w:val="heading 7"/>
    <w:basedOn w:val="Heading6"/>
    <w:link w:val="Heading7Char"/>
    <w:uiPriority w:val="2"/>
    <w:qFormat/>
    <w:rsid w:val="00F12615"/>
    <w:pPr>
      <w:outlineLvl w:val="6"/>
    </w:pPr>
  </w:style>
  <w:style w:type="paragraph" w:styleId="Heading8">
    <w:name w:val="heading 8"/>
    <w:basedOn w:val="Heading7"/>
    <w:link w:val="Heading8Char"/>
    <w:uiPriority w:val="2"/>
    <w:qFormat/>
    <w:rsid w:val="00F12615"/>
    <w:pPr>
      <w:tabs>
        <w:tab w:val="num" w:pos="567"/>
      </w:tabs>
      <w:ind w:left="1134"/>
      <w:outlineLvl w:val="7"/>
    </w:pPr>
    <w:rPr>
      <w:szCs w:val="20"/>
    </w:rPr>
  </w:style>
  <w:style w:type="paragraph" w:styleId="Heading9">
    <w:name w:val="heading 9"/>
    <w:basedOn w:val="Heading8"/>
    <w:link w:val="Heading9Char"/>
    <w:uiPriority w:val="2"/>
    <w:qFormat/>
    <w:rsid w:val="00F12615"/>
    <w:pPr>
      <w:tabs>
        <w:tab w:val="clear" w:pos="567"/>
      </w:tabs>
      <w:ind w:left="284" w:firstLine="85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NTU Title"/>
    <w:basedOn w:val="Normal"/>
    <w:next w:val="Normal"/>
    <w:link w:val="TitleChar"/>
    <w:uiPriority w:val="10"/>
    <w:qFormat/>
    <w:rsid w:val="00B72F45"/>
    <w:pPr>
      <w:keepLines/>
      <w:spacing w:after="0" w:line="167" w:lineRule="auto"/>
      <w:ind w:left="868"/>
    </w:pPr>
    <w:rPr>
      <w:rFonts w:ascii="Calibri" w:eastAsia="Calibri" w:hAnsi="Calibri" w:cs="Calibri"/>
      <w:b/>
      <w:color w:val="000000" w:themeColor="text1"/>
      <w:kern w:val="0"/>
      <w:sz w:val="120"/>
      <w:szCs w:val="120"/>
      <w:lang w:eastAsia="en-GB"/>
      <w14:ligatures w14:val="none"/>
    </w:rPr>
  </w:style>
  <w:style w:type="character" w:customStyle="1" w:styleId="TitleChar">
    <w:name w:val="Title Char"/>
    <w:aliases w:val="NTU Title Char"/>
    <w:basedOn w:val="DefaultParagraphFont"/>
    <w:link w:val="Title"/>
    <w:uiPriority w:val="10"/>
    <w:rsid w:val="00B72F45"/>
    <w:rPr>
      <w:rFonts w:ascii="Calibri" w:eastAsia="Calibri" w:hAnsi="Calibri" w:cs="Calibri"/>
      <w:b/>
      <w:color w:val="000000" w:themeColor="text1"/>
      <w:kern w:val="0"/>
      <w:sz w:val="120"/>
      <w:szCs w:val="120"/>
      <w:lang w:eastAsia="en-GB"/>
      <w14:ligatures w14:val="none"/>
    </w:rPr>
  </w:style>
  <w:style w:type="character" w:styleId="Hyperlink">
    <w:name w:val="Hyperlink"/>
    <w:basedOn w:val="DefaultParagraphFont"/>
    <w:uiPriority w:val="99"/>
    <w:unhideWhenUsed/>
    <w:rsid w:val="00B72F45"/>
    <w:rPr>
      <w:color w:val="0563C1" w:themeColor="hyperlink"/>
      <w:u w:val="single"/>
    </w:rPr>
  </w:style>
  <w:style w:type="paragraph" w:styleId="FootnoteText">
    <w:name w:val="footnote text"/>
    <w:basedOn w:val="Normal"/>
    <w:link w:val="FootnoteTextChar"/>
    <w:semiHidden/>
    <w:unhideWhenUsed/>
    <w:rsid w:val="00B72F45"/>
    <w:pPr>
      <w:spacing w:after="0" w:line="276" w:lineRule="auto"/>
    </w:pPr>
    <w:rPr>
      <w:rFonts w:eastAsiaTheme="minorEastAsia"/>
      <w:color w:val="000000" w:themeColor="text1"/>
      <w:kern w:val="0"/>
      <w:sz w:val="20"/>
      <w:szCs w:val="20"/>
      <w14:ligatures w14:val="none"/>
    </w:rPr>
  </w:style>
  <w:style w:type="character" w:customStyle="1" w:styleId="FootnoteTextChar">
    <w:name w:val="Footnote Text Char"/>
    <w:basedOn w:val="DefaultParagraphFont"/>
    <w:link w:val="FootnoteText"/>
    <w:semiHidden/>
    <w:rsid w:val="00B72F45"/>
    <w:rPr>
      <w:rFonts w:eastAsiaTheme="minorEastAsia"/>
      <w:color w:val="000000" w:themeColor="text1"/>
      <w:kern w:val="0"/>
      <w:sz w:val="20"/>
      <w:szCs w:val="20"/>
      <w14:ligatures w14:val="none"/>
    </w:rPr>
  </w:style>
  <w:style w:type="character" w:styleId="FootnoteReference">
    <w:name w:val="footnote reference"/>
    <w:semiHidden/>
    <w:rsid w:val="00B72F45"/>
    <w:rPr>
      <w:rFonts w:ascii="Calibri" w:hAnsi="Calibri"/>
      <w:sz w:val="24"/>
      <w:vertAlign w:val="superscript"/>
    </w:rPr>
  </w:style>
  <w:style w:type="table" w:customStyle="1" w:styleId="TableGrid2">
    <w:name w:val="Table Grid2"/>
    <w:basedOn w:val="TableNormal"/>
    <w:next w:val="TableGrid"/>
    <w:uiPriority w:val="59"/>
    <w:rsid w:val="00B72F45"/>
    <w:pPr>
      <w:keepLines/>
      <w:spacing w:after="0" w:line="240" w:lineRule="auto"/>
    </w:pPr>
    <w:rPr>
      <w:rFonts w:ascii="Calibri" w:eastAsia="Calibri" w:hAnsi="Calibri" w:cs="Calibri"/>
      <w:color w:val="293171"/>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U1Numbers">
    <w:name w:val="NTU 1. Numbers"/>
    <w:basedOn w:val="ListParagraph"/>
    <w:rsid w:val="00B72F45"/>
    <w:pPr>
      <w:numPr>
        <w:numId w:val="12"/>
      </w:numPr>
      <w:tabs>
        <w:tab w:val="num" w:pos="360"/>
      </w:tabs>
      <w:spacing w:after="120" w:line="240" w:lineRule="auto"/>
      <w:ind w:firstLine="0"/>
      <w:contextualSpacing w:val="0"/>
      <w:textAlignment w:val="baseline"/>
    </w:pPr>
    <w:rPr>
      <w:rFonts w:ascii="Calibri" w:eastAsia="Calibri" w:hAnsi="Calibri" w:cs="Calibri"/>
      <w:b/>
      <w:color w:val="E0ECA7" w:themeColor="accent1"/>
      <w:kern w:val="0"/>
      <w:sz w:val="24"/>
      <w:szCs w:val="20"/>
      <w:lang w:eastAsia="en-GB"/>
      <w14:ligatures w14:val="none"/>
    </w:rPr>
  </w:style>
  <w:style w:type="paragraph" w:customStyle="1" w:styleId="NTUanumbering">
    <w:name w:val="NTU a) numbering"/>
    <w:basedOn w:val="ListParagraph"/>
    <w:qFormat/>
    <w:rsid w:val="00B72F45"/>
    <w:pPr>
      <w:numPr>
        <w:numId w:val="7"/>
      </w:numPr>
      <w:tabs>
        <w:tab w:val="num" w:pos="360"/>
      </w:tabs>
      <w:spacing w:after="120" w:line="240" w:lineRule="auto"/>
      <w:ind w:left="720" w:firstLine="0"/>
      <w:contextualSpacing w:val="0"/>
      <w:textAlignment w:val="baseline"/>
    </w:pPr>
    <w:rPr>
      <w:rFonts w:ascii="Calibri" w:eastAsia="Calibri" w:hAnsi="Calibri" w:cs="Calibri"/>
      <w:color w:val="000000" w:themeColor="text1"/>
      <w:kern w:val="0"/>
      <w:sz w:val="20"/>
      <w:szCs w:val="20"/>
      <w:lang w:eastAsia="en-GB"/>
      <w14:ligatures w14:val="none"/>
    </w:rPr>
  </w:style>
  <w:style w:type="paragraph" w:customStyle="1" w:styleId="NTUanumberingindent1">
    <w:name w:val="NTU a) numbering indent 1"/>
    <w:basedOn w:val="NTUanumbering"/>
    <w:qFormat/>
    <w:rsid w:val="00B72F45"/>
    <w:pPr>
      <w:numPr>
        <w:numId w:val="0"/>
      </w:numPr>
    </w:pPr>
  </w:style>
  <w:style w:type="paragraph" w:customStyle="1" w:styleId="NTUFigure">
    <w:name w:val="NTU Figure"/>
    <w:basedOn w:val="Normal"/>
    <w:qFormat/>
    <w:rsid w:val="00B72F45"/>
    <w:pPr>
      <w:keepLines/>
      <w:spacing w:after="100" w:line="276" w:lineRule="auto"/>
      <w:ind w:firstLine="851"/>
    </w:pPr>
    <w:rPr>
      <w:rFonts w:ascii="Calibri" w:eastAsia="Calibri" w:hAnsi="Calibri" w:cs="Calibri"/>
      <w:b/>
      <w:bCs/>
      <w:i/>
      <w:iCs/>
      <w:kern w:val="0"/>
      <w:sz w:val="20"/>
      <w:szCs w:val="20"/>
      <w14:ligatures w14:val="none"/>
    </w:rPr>
  </w:style>
  <w:style w:type="paragraph" w:customStyle="1" w:styleId="NTUiibullet">
    <w:name w:val="NTU ii. bullet"/>
    <w:basedOn w:val="ListParagraph"/>
    <w:qFormat/>
    <w:rsid w:val="00B72F45"/>
    <w:pPr>
      <w:numPr>
        <w:numId w:val="14"/>
      </w:numPr>
      <w:tabs>
        <w:tab w:val="num" w:pos="360"/>
      </w:tabs>
      <w:spacing w:after="120" w:line="240" w:lineRule="auto"/>
      <w:ind w:left="720" w:firstLine="0"/>
      <w:textAlignment w:val="baseline"/>
    </w:pPr>
    <w:rPr>
      <w:rFonts w:ascii="Calibri" w:eastAsia="Calibri" w:hAnsi="Calibri" w:cs="Calibri"/>
      <w:color w:val="000000" w:themeColor="text1"/>
      <w:kern w:val="0"/>
      <w:sz w:val="20"/>
      <w:szCs w:val="20"/>
      <w:lang w:eastAsia="en-GB"/>
      <w14:ligatures w14:val="none"/>
    </w:rPr>
  </w:style>
  <w:style w:type="paragraph" w:customStyle="1" w:styleId="NTUMasterNormal">
    <w:name w:val="NTU Master Normal"/>
    <w:basedOn w:val="Normal"/>
    <w:qFormat/>
    <w:rsid w:val="00B72F45"/>
    <w:pPr>
      <w:keepLines/>
      <w:spacing w:after="100" w:line="276" w:lineRule="auto"/>
      <w:ind w:left="868"/>
    </w:pPr>
    <w:rPr>
      <w:rFonts w:ascii="Calibri" w:eastAsia="Calibri" w:hAnsi="Calibri" w:cs="Calibri"/>
      <w:color w:val="000000" w:themeColor="text1"/>
      <w:kern w:val="0"/>
      <w:sz w:val="20"/>
      <w:szCs w:val="20"/>
      <w:lang w:eastAsia="en-GB"/>
      <w14:ligatures w14:val="none"/>
    </w:rPr>
  </w:style>
  <w:style w:type="paragraph" w:customStyle="1" w:styleId="NTUnoindentNormal">
    <w:name w:val="NTU no indent Normal"/>
    <w:basedOn w:val="Normal"/>
    <w:qFormat/>
    <w:rsid w:val="00B72F45"/>
    <w:pPr>
      <w:keepLines/>
      <w:spacing w:after="100" w:line="276" w:lineRule="auto"/>
    </w:pPr>
    <w:rPr>
      <w:rFonts w:ascii="Calibri" w:eastAsia="Calibri" w:hAnsi="Calibri" w:cs="Calibri"/>
      <w:color w:val="000000" w:themeColor="text1"/>
      <w:kern w:val="0"/>
      <w:sz w:val="20"/>
      <w:szCs w:val="20"/>
      <w:lang w:val="en-GB"/>
      <w14:ligatures w14:val="none"/>
    </w:rPr>
  </w:style>
  <w:style w:type="paragraph" w:customStyle="1" w:styleId="NTUNonumbers-H1">
    <w:name w:val="NTU No numbers-H1"/>
    <w:basedOn w:val="Heading1"/>
    <w:qFormat/>
    <w:rsid w:val="00B72F45"/>
    <w:pPr>
      <w:spacing w:after="200" w:line="276" w:lineRule="auto"/>
    </w:pPr>
    <w:rPr>
      <w:rFonts w:ascii="Calibri" w:eastAsia="Calibri" w:hAnsi="Calibri" w:cs="Calibri"/>
      <w:b/>
      <w:color w:val="000000" w:themeColor="text1"/>
      <w:kern w:val="0"/>
      <w:sz w:val="36"/>
      <w:szCs w:val="36"/>
      <w:lang w:eastAsia="en-GB"/>
      <w14:ligatures w14:val="none"/>
    </w:rPr>
  </w:style>
  <w:style w:type="paragraph" w:customStyle="1" w:styleId="NTUNoNumbers-H2">
    <w:name w:val="NTU No Numbers-H2"/>
    <w:basedOn w:val="Heading2"/>
    <w:qFormat/>
    <w:rsid w:val="00B72F45"/>
    <w:pPr>
      <w:tabs>
        <w:tab w:val="left" w:pos="993"/>
      </w:tabs>
      <w:spacing w:before="240" w:after="100" w:line="276" w:lineRule="auto"/>
    </w:pPr>
    <w:rPr>
      <w:rFonts w:ascii="Calibri" w:eastAsia="Calibri" w:hAnsi="Calibri" w:cs="Calibri"/>
      <w:b/>
      <w:color w:val="0070C0"/>
      <w:kern w:val="0"/>
      <w:lang w:val="en-US" w:eastAsia="en-NZ"/>
      <w14:ligatures w14:val="none"/>
    </w:rPr>
  </w:style>
  <w:style w:type="paragraph" w:customStyle="1" w:styleId="NTUNoNumbers-H3">
    <w:name w:val="NTU No Numbers-H3"/>
    <w:basedOn w:val="Heading3"/>
    <w:qFormat/>
    <w:rsid w:val="00B72F45"/>
    <w:pPr>
      <w:spacing w:before="200" w:after="200" w:line="240" w:lineRule="auto"/>
    </w:pPr>
    <w:rPr>
      <w:rFonts w:ascii="Calibri" w:eastAsia="Calibri" w:hAnsi="Calibri" w:cs="Calibri"/>
      <w:b/>
      <w:color w:val="000000" w:themeColor="text1"/>
      <w:kern w:val="0"/>
      <w:sz w:val="20"/>
      <w:szCs w:val="20"/>
      <w:lang w:eastAsia="en-GB"/>
      <w14:ligatures w14:val="none"/>
    </w:rPr>
  </w:style>
  <w:style w:type="paragraph" w:customStyle="1" w:styleId="HGNumbers0Margin">
    <w:name w:val="HG Numbers 0 Margin"/>
    <w:qFormat/>
    <w:rsid w:val="00B72F45"/>
    <w:pPr>
      <w:keepLines/>
      <w:numPr>
        <w:numId w:val="1"/>
      </w:numPr>
      <w:spacing w:after="100" w:line="276" w:lineRule="auto"/>
    </w:pPr>
    <w:rPr>
      <w:rFonts w:ascii="Calibri" w:eastAsia="Calibri" w:hAnsi="Calibri" w:cs="Calibri"/>
      <w:kern w:val="0"/>
      <w:sz w:val="20"/>
      <w:szCs w:val="20"/>
      <w:lang w:eastAsia="en-GB"/>
      <w14:ligatures w14:val="none"/>
    </w:rPr>
  </w:style>
  <w:style w:type="table" w:styleId="TableGrid">
    <w:name w:val="Table Grid"/>
    <w:basedOn w:val="TableNormal"/>
    <w:uiPriority w:val="39"/>
    <w:rsid w:val="00B72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2F45"/>
    <w:pPr>
      <w:ind w:left="720"/>
      <w:contextualSpacing/>
    </w:pPr>
  </w:style>
  <w:style w:type="character" w:customStyle="1" w:styleId="Heading1Char">
    <w:name w:val="Heading 1 Char"/>
    <w:basedOn w:val="DefaultParagraphFont"/>
    <w:link w:val="Heading1"/>
    <w:uiPriority w:val="9"/>
    <w:rsid w:val="00B72F45"/>
    <w:rPr>
      <w:rFonts w:asciiTheme="majorHAnsi" w:eastAsiaTheme="majorEastAsia" w:hAnsiTheme="majorHAnsi" w:cstheme="majorBidi"/>
      <w:color w:val="C2DA53" w:themeColor="accent1" w:themeShade="BF"/>
      <w:sz w:val="32"/>
      <w:szCs w:val="32"/>
    </w:rPr>
  </w:style>
  <w:style w:type="character" w:customStyle="1" w:styleId="Heading2Char">
    <w:name w:val="Heading 2 Char"/>
    <w:basedOn w:val="DefaultParagraphFont"/>
    <w:link w:val="Heading2"/>
    <w:uiPriority w:val="9"/>
    <w:semiHidden/>
    <w:rsid w:val="00B72F45"/>
    <w:rPr>
      <w:rFonts w:asciiTheme="majorHAnsi" w:eastAsiaTheme="majorEastAsia" w:hAnsiTheme="majorHAnsi" w:cstheme="majorBidi"/>
      <w:color w:val="C2DA53" w:themeColor="accent1" w:themeShade="BF"/>
      <w:sz w:val="26"/>
      <w:szCs w:val="26"/>
    </w:rPr>
  </w:style>
  <w:style w:type="character" w:customStyle="1" w:styleId="Heading3Char">
    <w:name w:val="Heading 3 Char"/>
    <w:basedOn w:val="DefaultParagraphFont"/>
    <w:link w:val="Heading3"/>
    <w:uiPriority w:val="9"/>
    <w:semiHidden/>
    <w:rsid w:val="00B72F45"/>
    <w:rPr>
      <w:rFonts w:asciiTheme="majorHAnsi" w:eastAsiaTheme="majorEastAsia" w:hAnsiTheme="majorHAnsi" w:cstheme="majorBidi"/>
      <w:color w:val="8EA423" w:themeColor="accent1" w:themeShade="7F"/>
      <w:sz w:val="24"/>
      <w:szCs w:val="24"/>
    </w:rPr>
  </w:style>
  <w:style w:type="character" w:styleId="Strong">
    <w:name w:val="Strong"/>
    <w:aliases w:val="NTU Strong"/>
    <w:basedOn w:val="DefaultParagraphFont"/>
    <w:uiPriority w:val="22"/>
    <w:qFormat/>
    <w:rsid w:val="00B72F45"/>
    <w:rPr>
      <w:b/>
      <w:bCs/>
      <w:color w:val="auto"/>
    </w:rPr>
  </w:style>
  <w:style w:type="paragraph" w:customStyle="1" w:styleId="NTUtabletext">
    <w:name w:val="NTU table text"/>
    <w:basedOn w:val="NTUMasterNormal"/>
    <w:qFormat/>
    <w:rsid w:val="00B72F45"/>
    <w:pPr>
      <w:spacing w:after="0"/>
      <w:ind w:left="0"/>
    </w:pPr>
    <w:rPr>
      <w:sz w:val="18"/>
      <w:szCs w:val="18"/>
    </w:rPr>
  </w:style>
  <w:style w:type="paragraph" w:customStyle="1" w:styleId="NTUtabletextBold">
    <w:name w:val="NTU table text Bold"/>
    <w:basedOn w:val="NTUMasterNormal"/>
    <w:qFormat/>
    <w:rsid w:val="00B72F45"/>
    <w:pPr>
      <w:spacing w:after="0"/>
      <w:ind w:left="0"/>
    </w:pPr>
    <w:rPr>
      <w:b/>
      <w:bCs/>
      <w:sz w:val="18"/>
      <w:szCs w:val="18"/>
    </w:rPr>
  </w:style>
  <w:style w:type="paragraph" w:styleId="Header">
    <w:name w:val="header"/>
    <w:basedOn w:val="Normal"/>
    <w:link w:val="HeaderChar"/>
    <w:uiPriority w:val="99"/>
    <w:unhideWhenUsed/>
    <w:rsid w:val="00B72F45"/>
    <w:pPr>
      <w:keepLines/>
      <w:tabs>
        <w:tab w:val="center" w:pos="4513"/>
        <w:tab w:val="right" w:pos="9026"/>
      </w:tabs>
      <w:spacing w:after="0" w:line="240" w:lineRule="auto"/>
    </w:pPr>
    <w:rPr>
      <w:rFonts w:ascii="Calibri" w:eastAsia="Calibri" w:hAnsi="Calibri" w:cs="Calibri"/>
      <w:kern w:val="0"/>
      <w:sz w:val="20"/>
      <w:szCs w:val="20"/>
      <w:lang w:eastAsia="en-GB"/>
      <w14:ligatures w14:val="none"/>
    </w:rPr>
  </w:style>
  <w:style w:type="character" w:customStyle="1" w:styleId="HeaderChar">
    <w:name w:val="Header Char"/>
    <w:basedOn w:val="DefaultParagraphFont"/>
    <w:link w:val="Header"/>
    <w:uiPriority w:val="99"/>
    <w:rsid w:val="00B72F45"/>
    <w:rPr>
      <w:rFonts w:ascii="Calibri" w:eastAsia="Calibri" w:hAnsi="Calibri" w:cs="Calibri"/>
      <w:kern w:val="0"/>
      <w:sz w:val="20"/>
      <w:szCs w:val="20"/>
      <w:lang w:eastAsia="en-GB"/>
      <w14:ligatures w14:val="none"/>
    </w:rPr>
  </w:style>
  <w:style w:type="paragraph" w:styleId="Footer">
    <w:name w:val="footer"/>
    <w:basedOn w:val="Normal"/>
    <w:link w:val="FooterChar"/>
    <w:uiPriority w:val="99"/>
    <w:unhideWhenUsed/>
    <w:rsid w:val="00B72F45"/>
    <w:pPr>
      <w:keepLines/>
      <w:tabs>
        <w:tab w:val="center" w:pos="4513"/>
        <w:tab w:val="right" w:pos="9026"/>
      </w:tabs>
      <w:spacing w:after="0" w:line="240" w:lineRule="auto"/>
    </w:pPr>
    <w:rPr>
      <w:rFonts w:ascii="Calibri" w:eastAsia="Calibri" w:hAnsi="Calibri" w:cs="Calibri"/>
      <w:kern w:val="0"/>
      <w:sz w:val="20"/>
      <w:szCs w:val="20"/>
      <w:lang w:eastAsia="en-GB"/>
      <w14:ligatures w14:val="none"/>
    </w:rPr>
  </w:style>
  <w:style w:type="character" w:customStyle="1" w:styleId="FooterChar">
    <w:name w:val="Footer Char"/>
    <w:basedOn w:val="DefaultParagraphFont"/>
    <w:link w:val="Footer"/>
    <w:uiPriority w:val="99"/>
    <w:rsid w:val="00B72F45"/>
    <w:rPr>
      <w:rFonts w:ascii="Calibri" w:eastAsia="Calibri" w:hAnsi="Calibri" w:cs="Calibri"/>
      <w:kern w:val="0"/>
      <w:sz w:val="20"/>
      <w:szCs w:val="20"/>
      <w:lang w:eastAsia="en-GB"/>
      <w14:ligatures w14:val="none"/>
    </w:rPr>
  </w:style>
  <w:style w:type="paragraph" w:customStyle="1" w:styleId="HGtabletextBold">
    <w:name w:val="HG table text Bold"/>
    <w:basedOn w:val="Normal"/>
    <w:qFormat/>
    <w:rsid w:val="00B72F45"/>
    <w:pPr>
      <w:keepLines/>
      <w:spacing w:after="100" w:line="276" w:lineRule="auto"/>
    </w:pPr>
    <w:rPr>
      <w:rFonts w:ascii="Calibri" w:eastAsia="Calibri" w:hAnsi="Calibri" w:cs="Calibri"/>
      <w:b/>
      <w:bCs/>
      <w:kern w:val="0"/>
      <w:sz w:val="18"/>
      <w:szCs w:val="18"/>
      <w:lang w:eastAsia="en-GB"/>
      <w14:ligatures w14:val="none"/>
    </w:rPr>
  </w:style>
  <w:style w:type="paragraph" w:customStyle="1" w:styleId="Nonumbers-H1">
    <w:name w:val="No numbers-H1"/>
    <w:basedOn w:val="Heading1"/>
    <w:rsid w:val="00B72F45"/>
    <w:pPr>
      <w:spacing w:after="200" w:line="276" w:lineRule="auto"/>
    </w:pPr>
    <w:rPr>
      <w:rFonts w:ascii="Calibri" w:eastAsia="Calibri" w:hAnsi="Calibri" w:cs="Calibri"/>
      <w:b/>
      <w:color w:val="000000" w:themeColor="text1"/>
      <w:kern w:val="0"/>
      <w:sz w:val="36"/>
      <w:szCs w:val="36"/>
      <w:lang w:eastAsia="en-GB"/>
      <w14:ligatures w14:val="none"/>
    </w:rPr>
  </w:style>
  <w:style w:type="paragraph" w:customStyle="1" w:styleId="NoNumbers-H2">
    <w:name w:val="No Numbers-H2"/>
    <w:basedOn w:val="Heading2"/>
    <w:qFormat/>
    <w:rsid w:val="00B72F45"/>
    <w:pPr>
      <w:tabs>
        <w:tab w:val="left" w:pos="993"/>
      </w:tabs>
      <w:spacing w:before="240" w:after="100" w:line="276" w:lineRule="auto"/>
    </w:pPr>
    <w:rPr>
      <w:rFonts w:ascii="Calibri" w:eastAsia="Calibri" w:hAnsi="Calibri" w:cs="Calibri"/>
      <w:b/>
      <w:color w:val="0070C0"/>
      <w:kern w:val="0"/>
      <w:lang w:val="en-US" w:eastAsia="en-NZ"/>
      <w14:ligatures w14:val="none"/>
    </w:rPr>
  </w:style>
  <w:style w:type="paragraph" w:customStyle="1" w:styleId="NTUwhitetext">
    <w:name w:val="NTU white text"/>
    <w:basedOn w:val="Normal"/>
    <w:qFormat/>
    <w:rsid w:val="00B72F45"/>
    <w:pPr>
      <w:keepLines/>
      <w:spacing w:after="100" w:line="276" w:lineRule="auto"/>
    </w:pPr>
    <w:rPr>
      <w:rFonts w:ascii="Calibri" w:eastAsia="Calibri" w:hAnsi="Calibri" w:cs="Calibri"/>
      <w:b/>
      <w:bCs/>
      <w:color w:val="F2F2EA" w:themeColor="background1"/>
      <w:kern w:val="0"/>
      <w:sz w:val="18"/>
      <w:szCs w:val="18"/>
      <w:lang w:eastAsia="en-GB"/>
      <w14:ligatures w14:val="none"/>
    </w:rPr>
  </w:style>
  <w:style w:type="paragraph" w:customStyle="1" w:styleId="NTUtabletextBoldWhite">
    <w:name w:val="NTU table text Bold White"/>
    <w:basedOn w:val="NTUtabletextBold"/>
    <w:qFormat/>
    <w:rsid w:val="00B72F45"/>
    <w:rPr>
      <w:color w:val="F2F2EA" w:themeColor="background1"/>
    </w:rPr>
  </w:style>
  <w:style w:type="character" w:styleId="CommentReference">
    <w:name w:val="annotation reference"/>
    <w:basedOn w:val="DefaultParagraphFont"/>
    <w:uiPriority w:val="99"/>
    <w:semiHidden/>
    <w:unhideWhenUsed/>
    <w:rsid w:val="00C746B2"/>
    <w:rPr>
      <w:sz w:val="16"/>
      <w:szCs w:val="16"/>
    </w:rPr>
  </w:style>
  <w:style w:type="paragraph" w:styleId="CommentText">
    <w:name w:val="annotation text"/>
    <w:basedOn w:val="Normal"/>
    <w:link w:val="CommentTextChar"/>
    <w:uiPriority w:val="99"/>
    <w:unhideWhenUsed/>
    <w:rsid w:val="00C746B2"/>
    <w:pPr>
      <w:spacing w:line="240" w:lineRule="auto"/>
    </w:pPr>
    <w:rPr>
      <w:sz w:val="20"/>
      <w:szCs w:val="20"/>
    </w:rPr>
  </w:style>
  <w:style w:type="character" w:customStyle="1" w:styleId="CommentTextChar">
    <w:name w:val="Comment Text Char"/>
    <w:basedOn w:val="DefaultParagraphFont"/>
    <w:link w:val="CommentText"/>
    <w:uiPriority w:val="99"/>
    <w:rsid w:val="00C746B2"/>
    <w:rPr>
      <w:sz w:val="20"/>
      <w:szCs w:val="20"/>
    </w:rPr>
  </w:style>
  <w:style w:type="paragraph" w:styleId="CommentSubject">
    <w:name w:val="annotation subject"/>
    <w:basedOn w:val="CommentText"/>
    <w:next w:val="CommentText"/>
    <w:link w:val="CommentSubjectChar"/>
    <w:uiPriority w:val="99"/>
    <w:semiHidden/>
    <w:unhideWhenUsed/>
    <w:rsid w:val="00C746B2"/>
    <w:rPr>
      <w:b/>
      <w:bCs/>
    </w:rPr>
  </w:style>
  <w:style w:type="character" w:customStyle="1" w:styleId="CommentSubjectChar">
    <w:name w:val="Comment Subject Char"/>
    <w:basedOn w:val="CommentTextChar"/>
    <w:link w:val="CommentSubject"/>
    <w:uiPriority w:val="99"/>
    <w:semiHidden/>
    <w:rsid w:val="00C746B2"/>
    <w:rPr>
      <w:b/>
      <w:bCs/>
      <w:sz w:val="20"/>
      <w:szCs w:val="20"/>
    </w:rPr>
  </w:style>
  <w:style w:type="character" w:customStyle="1" w:styleId="Heading4Char">
    <w:name w:val="Heading 4 Char"/>
    <w:basedOn w:val="DefaultParagraphFont"/>
    <w:link w:val="Heading4"/>
    <w:uiPriority w:val="2"/>
    <w:rsid w:val="00F12615"/>
    <w:rPr>
      <w:rFonts w:eastAsiaTheme="majorEastAsia" w:cstheme="majorBidi"/>
      <w:iCs/>
      <w:kern w:val="0"/>
      <w:sz w:val="18"/>
      <w:szCs w:val="20"/>
      <w14:ligatures w14:val="none"/>
    </w:rPr>
  </w:style>
  <w:style w:type="character" w:customStyle="1" w:styleId="Heading5Char">
    <w:name w:val="Heading 5 Char"/>
    <w:basedOn w:val="DefaultParagraphFont"/>
    <w:link w:val="Heading5"/>
    <w:uiPriority w:val="2"/>
    <w:rsid w:val="00F12615"/>
    <w:rPr>
      <w:rFonts w:eastAsiaTheme="majorEastAsia" w:cstheme="majorBidi"/>
      <w:iCs/>
      <w:kern w:val="0"/>
      <w:sz w:val="18"/>
      <w:szCs w:val="16"/>
      <w14:ligatures w14:val="none"/>
    </w:rPr>
  </w:style>
  <w:style w:type="character" w:customStyle="1" w:styleId="Heading6Char">
    <w:name w:val="Heading 6 Char"/>
    <w:basedOn w:val="DefaultParagraphFont"/>
    <w:link w:val="Heading6"/>
    <w:uiPriority w:val="2"/>
    <w:rsid w:val="00F12615"/>
    <w:rPr>
      <w:rFonts w:eastAsiaTheme="majorEastAsia" w:cstheme="majorBidi"/>
      <w:iCs/>
      <w:kern w:val="0"/>
      <w:sz w:val="18"/>
      <w:szCs w:val="16"/>
      <w14:ligatures w14:val="none"/>
    </w:rPr>
  </w:style>
  <w:style w:type="character" w:customStyle="1" w:styleId="Heading7Char">
    <w:name w:val="Heading 7 Char"/>
    <w:basedOn w:val="DefaultParagraphFont"/>
    <w:link w:val="Heading7"/>
    <w:uiPriority w:val="2"/>
    <w:rsid w:val="00F12615"/>
    <w:rPr>
      <w:rFonts w:eastAsiaTheme="majorEastAsia" w:cstheme="majorBidi"/>
      <w:iCs/>
      <w:kern w:val="0"/>
      <w:sz w:val="18"/>
      <w:szCs w:val="16"/>
      <w14:ligatures w14:val="none"/>
    </w:rPr>
  </w:style>
  <w:style w:type="character" w:customStyle="1" w:styleId="Heading8Char">
    <w:name w:val="Heading 8 Char"/>
    <w:basedOn w:val="DefaultParagraphFont"/>
    <w:link w:val="Heading8"/>
    <w:uiPriority w:val="2"/>
    <w:rsid w:val="00F12615"/>
    <w:rPr>
      <w:rFonts w:eastAsiaTheme="majorEastAsia" w:cstheme="majorBidi"/>
      <w:iCs/>
      <w:kern w:val="0"/>
      <w:sz w:val="18"/>
      <w:szCs w:val="20"/>
      <w14:ligatures w14:val="none"/>
    </w:rPr>
  </w:style>
  <w:style w:type="character" w:customStyle="1" w:styleId="Heading9Char">
    <w:name w:val="Heading 9 Char"/>
    <w:basedOn w:val="DefaultParagraphFont"/>
    <w:link w:val="Heading9"/>
    <w:uiPriority w:val="2"/>
    <w:rsid w:val="00F12615"/>
    <w:rPr>
      <w:rFonts w:eastAsiaTheme="majorEastAsia" w:cstheme="majorBidi"/>
      <w:kern w:val="0"/>
      <w:sz w:val="18"/>
      <w:szCs w:val="20"/>
      <w14:ligatures w14:val="none"/>
    </w:rPr>
  </w:style>
  <w:style w:type="paragraph" w:styleId="NormalWeb">
    <w:name w:val="Normal (Web)"/>
    <w:basedOn w:val="Normal"/>
    <w:uiPriority w:val="99"/>
    <w:unhideWhenUsed/>
    <w:rsid w:val="00F12615"/>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UnresolvedMention">
    <w:name w:val="Unresolved Mention"/>
    <w:basedOn w:val="DefaultParagraphFont"/>
    <w:uiPriority w:val="99"/>
    <w:semiHidden/>
    <w:unhideWhenUsed/>
    <w:rsid w:val="00905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yperlink" Target="http://www.nzta.govt.nz/resources/bridge-manual/bridge-manua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techtarget.com/whatis/definition/real-time" TargetMode="Externa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dpstele.com/rtu/overview.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nzta.govt.nz/resources/bridge-manual/bridge-manua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nvironment.govt.nz/publications/national-policy-statement-for-freshwater-management-2020-amended-december-2022/"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C0181B-4772-4E65-9267-9BDC1ADB14E5}" type="doc">
      <dgm:prSet loTypeId="urn:microsoft.com/office/officeart/2005/8/layout/cycle3" loCatId="cycle" qsTypeId="urn:microsoft.com/office/officeart/2005/8/quickstyle/3d3" qsCatId="3D" csTypeId="urn:microsoft.com/office/officeart/2005/8/colors/colorful3" csCatId="colorful" phldr="1"/>
      <dgm:spPr/>
      <dgm:t>
        <a:bodyPr/>
        <a:lstStyle/>
        <a:p>
          <a:endParaRPr lang="en-NZ"/>
        </a:p>
      </dgm:t>
    </dgm:pt>
    <dgm:pt modelId="{71F1AF87-F110-49BE-8D71-7BE5201486E2}">
      <dgm:prSet phldrT="[Text]" custT="1"/>
      <dgm:spPr>
        <a:xfrm>
          <a:off x="1990249" y="954"/>
          <a:ext cx="1314766" cy="657383"/>
        </a:xfrm>
        <a:prstGeom prst="roundRect">
          <a:avLst/>
        </a:prstGeom>
        <a:solidFill>
          <a:srgbClr val="9BBB59">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buNone/>
          </a:pPr>
          <a:r>
            <a:rPr lang="en-NZ" sz="800" b="1">
              <a:solidFill>
                <a:sysClr val="window" lastClr="FFFFFF"/>
              </a:solidFill>
              <a:latin typeface="Arial Narrow" panose="020B0606020202030204" pitchFamily="34" charset="0"/>
              <a:ea typeface="+mn-ea"/>
              <a:cs typeface="+mn-cs"/>
            </a:rPr>
            <a:t>1. Planning</a:t>
          </a:r>
        </a:p>
        <a:p>
          <a:pPr algn="ctr">
            <a:buNone/>
          </a:pPr>
          <a:r>
            <a:rPr lang="en-NZ" sz="600">
              <a:solidFill>
                <a:sysClr val="window" lastClr="FFFFFF"/>
              </a:solidFill>
              <a:latin typeface="Arial Narrow" panose="020B0606020202030204" pitchFamily="34" charset="0"/>
              <a:ea typeface="+mn-ea"/>
              <a:cs typeface="+mn-cs"/>
            </a:rPr>
            <a:t>Confirm the business need</a:t>
          </a:r>
        </a:p>
        <a:p>
          <a:pPr algn="ctr">
            <a:buNone/>
          </a:pPr>
          <a:r>
            <a:rPr lang="en-NZ" sz="600">
              <a:solidFill>
                <a:sysClr val="window" lastClr="FFFFFF"/>
              </a:solidFill>
              <a:latin typeface="Arial Narrow" panose="020B0606020202030204" pitchFamily="34" charset="0"/>
              <a:ea typeface="+mn-ea"/>
              <a:cs typeface="+mn-cs"/>
            </a:rPr>
            <a:t>Identify preferred option</a:t>
          </a:r>
        </a:p>
      </dgm:t>
    </dgm:pt>
    <dgm:pt modelId="{C48694C1-6E98-4E75-BB11-501DC9EF004A}" type="parTrans" cxnId="{B53E18BE-8066-46C9-80F9-5489E6E9BC43}">
      <dgm:prSet/>
      <dgm:spPr/>
      <dgm:t>
        <a:bodyPr/>
        <a:lstStyle/>
        <a:p>
          <a:endParaRPr lang="en-NZ"/>
        </a:p>
      </dgm:t>
    </dgm:pt>
    <dgm:pt modelId="{9CC834F0-851D-4816-82AE-B0D514A4168F}" type="sibTrans" cxnId="{B53E18BE-8066-46C9-80F9-5489E6E9BC43}">
      <dgm:prSet/>
      <dgm:spPr>
        <a:xfrm>
          <a:off x="1201479" y="-15035"/>
          <a:ext cx="2892305" cy="2892305"/>
        </a:xfrm>
        <a:prstGeom prst="circularArrow">
          <a:avLst>
            <a:gd name="adj1" fmla="val 5544"/>
            <a:gd name="adj2" fmla="val 330680"/>
            <a:gd name="adj3" fmla="val 13843356"/>
            <a:gd name="adj4" fmla="val 17345062"/>
            <a:gd name="adj5" fmla="val 5757"/>
          </a:avLst>
        </a:prstGeom>
        <a:solidFill>
          <a:srgbClr val="9BBB59">
            <a:tint val="40000"/>
            <a:hueOff val="0"/>
            <a:satOff val="0"/>
            <a:lumOff val="0"/>
            <a:alphaOff val="0"/>
          </a:srgbClr>
        </a:solidFill>
        <a:ln w="9525" cap="flat" cmpd="sng" algn="ctr">
          <a:solidFill>
            <a:sysClr val="windowText" lastClr="000000">
              <a:hueOff val="0"/>
              <a:satOff val="0"/>
              <a:lumOff val="0"/>
              <a:alphaOff val="0"/>
            </a:sysClr>
          </a:solidFill>
          <a:prstDash val="solid"/>
        </a:ln>
        <a:effectLst/>
        <a:scene3d>
          <a:camera prst="orthographicFront">
            <a:rot lat="0" lon="0" rev="0"/>
          </a:camera>
          <a:lightRig rig="contrasting" dir="t">
            <a:rot lat="0" lon="0" rev="1200000"/>
          </a:lightRig>
        </a:scene3d>
        <a:sp3d z="-300000" prstMaterial="plastic"/>
      </dgm:spPr>
      <dgm:t>
        <a:bodyPr/>
        <a:lstStyle/>
        <a:p>
          <a:endParaRPr lang="en-NZ"/>
        </a:p>
      </dgm:t>
    </dgm:pt>
    <dgm:pt modelId="{64F6ED6E-64AC-461B-ACD1-129930577E36}">
      <dgm:prSet phldrT="[Text]" custT="1"/>
      <dgm:spPr>
        <a:xfrm>
          <a:off x="3163274" y="853207"/>
          <a:ext cx="1314766" cy="657383"/>
        </a:xfrm>
        <a:prstGeom prst="roundRect">
          <a:avLst/>
        </a:prstGeom>
        <a:solidFill>
          <a:srgbClr val="9BBB59">
            <a:hueOff val="2812566"/>
            <a:satOff val="-4220"/>
            <a:lumOff val="-686"/>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NZ" sz="800" b="1">
              <a:solidFill>
                <a:sysClr val="window" lastClr="FFFFFF"/>
              </a:solidFill>
              <a:latin typeface="Arial Narrow" panose="020B0606020202030204" pitchFamily="34" charset="0"/>
              <a:ea typeface="+mn-ea"/>
              <a:cs typeface="+mn-cs"/>
            </a:rPr>
            <a:t>2. Design</a:t>
          </a:r>
          <a:endParaRPr lang="en-NZ" sz="800">
            <a:solidFill>
              <a:sysClr val="window" lastClr="FFFFFF"/>
            </a:solidFill>
            <a:latin typeface="Arial Narrow" panose="020B0606020202030204" pitchFamily="34" charset="0"/>
            <a:ea typeface="+mn-ea"/>
            <a:cs typeface="+mn-cs"/>
          </a:endParaRPr>
        </a:p>
        <a:p>
          <a:pPr>
            <a:buNone/>
          </a:pPr>
          <a:r>
            <a:rPr lang="en-NZ" sz="600">
              <a:solidFill>
                <a:sysClr val="window" lastClr="FFFFFF"/>
              </a:solidFill>
              <a:latin typeface="Arial Narrow" panose="020B0606020202030204" pitchFamily="34" charset="0"/>
              <a:ea typeface="+mn-ea"/>
              <a:cs typeface="+mn-cs"/>
            </a:rPr>
            <a:t>Refine solution, </a:t>
          </a:r>
        </a:p>
        <a:p>
          <a:pPr>
            <a:buNone/>
          </a:pPr>
          <a:r>
            <a:rPr lang="en-NZ" sz="600">
              <a:solidFill>
                <a:sysClr val="window" lastClr="FFFFFF"/>
              </a:solidFill>
              <a:latin typeface="Arial Narrow" panose="020B0606020202030204" pitchFamily="34" charset="0"/>
              <a:ea typeface="+mn-ea"/>
              <a:cs typeface="+mn-cs"/>
            </a:rPr>
            <a:t>influence scope, specifications,</a:t>
          </a:r>
        </a:p>
        <a:p>
          <a:pPr>
            <a:buNone/>
          </a:pPr>
          <a:r>
            <a:rPr lang="en-NZ" sz="600">
              <a:solidFill>
                <a:sysClr val="window" lastClr="FFFFFF"/>
              </a:solidFill>
              <a:latin typeface="Arial Narrow" panose="020B0606020202030204" pitchFamily="34" charset="0"/>
              <a:ea typeface="+mn-ea"/>
              <a:cs typeface="+mn-cs"/>
            </a:rPr>
            <a:t> materials, and construction methodology</a:t>
          </a:r>
        </a:p>
      </dgm:t>
    </dgm:pt>
    <dgm:pt modelId="{31C0AC70-3937-4238-AE7E-FC7726EB532F}" type="parTrans" cxnId="{A6894BF7-B7EC-434B-8A9C-0BFE2BA4DDB1}">
      <dgm:prSet/>
      <dgm:spPr/>
      <dgm:t>
        <a:bodyPr/>
        <a:lstStyle/>
        <a:p>
          <a:endParaRPr lang="en-NZ"/>
        </a:p>
      </dgm:t>
    </dgm:pt>
    <dgm:pt modelId="{7555CF93-AE55-4824-A8E2-19E8DDED02A2}" type="sibTrans" cxnId="{A6894BF7-B7EC-434B-8A9C-0BFE2BA4DDB1}">
      <dgm:prSet/>
      <dgm:spPr/>
      <dgm:t>
        <a:bodyPr/>
        <a:lstStyle/>
        <a:p>
          <a:endParaRPr lang="en-NZ"/>
        </a:p>
      </dgm:t>
    </dgm:pt>
    <dgm:pt modelId="{4D6E7352-B244-4616-A64D-36B1AFDEC2A5}">
      <dgm:prSet phldrT="[Text]" custT="1"/>
      <dgm:spPr>
        <a:xfrm>
          <a:off x="2715218" y="2232182"/>
          <a:ext cx="1314766" cy="657383"/>
        </a:xfrm>
        <a:prstGeom prst="roundRect">
          <a:avLst/>
        </a:prstGeom>
        <a:solidFill>
          <a:srgbClr val="9BBB59">
            <a:hueOff val="5625132"/>
            <a:satOff val="-8440"/>
            <a:lumOff val="-1373"/>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NZ" sz="800" b="1">
              <a:solidFill>
                <a:sysClr val="window" lastClr="FFFFFF"/>
              </a:solidFill>
              <a:latin typeface="Arial Narrow" panose="020B0606020202030204" pitchFamily="34" charset="0"/>
              <a:ea typeface="+mn-ea"/>
              <a:cs typeface="+mn-cs"/>
            </a:rPr>
            <a:t>3. Construction &amp; handover</a:t>
          </a:r>
          <a:endParaRPr lang="en-NZ" sz="800">
            <a:solidFill>
              <a:sysClr val="window" lastClr="FFFFFF"/>
            </a:solidFill>
            <a:latin typeface="Arial Narrow" panose="020B0606020202030204" pitchFamily="34" charset="0"/>
            <a:ea typeface="+mn-ea"/>
            <a:cs typeface="+mn-cs"/>
          </a:endParaRPr>
        </a:p>
        <a:p>
          <a:pPr>
            <a:buNone/>
          </a:pPr>
          <a:r>
            <a:rPr lang="en-NZ" sz="500">
              <a:solidFill>
                <a:sysClr val="window" lastClr="FFFFFF"/>
              </a:solidFill>
              <a:latin typeface="Arial Narrow" panose="020B0606020202030204" pitchFamily="34" charset="0"/>
              <a:ea typeface="+mn-ea"/>
              <a:cs typeface="+mn-cs"/>
            </a:rPr>
            <a:t>E</a:t>
          </a:r>
          <a:r>
            <a:rPr lang="en-NZ" sz="600">
              <a:solidFill>
                <a:sysClr val="window" lastClr="FFFFFF"/>
              </a:solidFill>
              <a:latin typeface="Arial Narrow" panose="020B0606020202030204" pitchFamily="34" charset="0"/>
              <a:ea typeface="+mn-ea"/>
              <a:cs typeface="+mn-cs"/>
            </a:rPr>
            <a:t>fficiently delivering solution (e.g. programme, vehicle movements, P&amp;G's)</a:t>
          </a:r>
        </a:p>
        <a:p>
          <a:pPr>
            <a:buNone/>
          </a:pPr>
          <a:r>
            <a:rPr lang="en-NZ" sz="600">
              <a:solidFill>
                <a:sysClr val="window" lastClr="FFFFFF"/>
              </a:solidFill>
              <a:latin typeface="Arial Narrow" panose="020B0606020202030204" pitchFamily="34" charset="0"/>
              <a:ea typeface="+mn-ea"/>
              <a:cs typeface="+mn-cs"/>
            </a:rPr>
            <a:t>Being environmentally conscious of construction activities and impacts</a:t>
          </a:r>
        </a:p>
        <a:p>
          <a:pPr>
            <a:buNone/>
          </a:pPr>
          <a:r>
            <a:rPr lang="en-NZ" sz="600">
              <a:solidFill>
                <a:sysClr val="window" lastClr="FFFFFF"/>
              </a:solidFill>
              <a:latin typeface="Arial Narrow" panose="020B0606020202030204" pitchFamily="34" charset="0"/>
              <a:ea typeface="+mn-ea"/>
              <a:cs typeface="+mn-cs"/>
            </a:rPr>
            <a:t>Quality assurance to ensure assets are constructed  to reach intended design life</a:t>
          </a:r>
        </a:p>
      </dgm:t>
    </dgm:pt>
    <dgm:pt modelId="{898CA0BE-2E1D-4AFE-B274-FA43B33BFD37}" type="parTrans" cxnId="{502B25E7-CDF2-4461-9A1B-BFFEEDC15A92}">
      <dgm:prSet/>
      <dgm:spPr/>
      <dgm:t>
        <a:bodyPr/>
        <a:lstStyle/>
        <a:p>
          <a:endParaRPr lang="en-NZ"/>
        </a:p>
      </dgm:t>
    </dgm:pt>
    <dgm:pt modelId="{D7F02C81-08CD-4567-808E-960D12B5AB05}" type="sibTrans" cxnId="{502B25E7-CDF2-4461-9A1B-BFFEEDC15A92}">
      <dgm:prSet/>
      <dgm:spPr/>
      <dgm:t>
        <a:bodyPr/>
        <a:lstStyle/>
        <a:p>
          <a:endParaRPr lang="en-NZ"/>
        </a:p>
      </dgm:t>
    </dgm:pt>
    <dgm:pt modelId="{83FDC529-CECF-45F0-BC06-A0EB181B9055}">
      <dgm:prSet phldrT="[Text]" custT="1"/>
      <dgm:spPr>
        <a:xfrm>
          <a:off x="1265279" y="2232182"/>
          <a:ext cx="1314766" cy="657383"/>
        </a:xfrm>
        <a:prstGeom prst="roundRect">
          <a:avLst/>
        </a:prstGeom>
        <a:solidFill>
          <a:srgbClr val="9BBB59">
            <a:hueOff val="8437698"/>
            <a:satOff val="-12660"/>
            <a:lumOff val="-2059"/>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NZ" sz="800" b="1">
              <a:solidFill>
                <a:sysClr val="window" lastClr="FFFFFF"/>
              </a:solidFill>
              <a:latin typeface="Arial Narrow" panose="020B0606020202030204" pitchFamily="34" charset="0"/>
              <a:ea typeface="+mn-ea"/>
              <a:cs typeface="+mn-cs"/>
            </a:rPr>
            <a:t>4. In-service Operation</a:t>
          </a:r>
          <a:endParaRPr lang="en-NZ" sz="800">
            <a:solidFill>
              <a:sysClr val="window" lastClr="FFFFFF"/>
            </a:solidFill>
            <a:latin typeface="Arial Narrow" panose="020B0606020202030204" pitchFamily="34" charset="0"/>
            <a:ea typeface="+mn-ea"/>
            <a:cs typeface="+mn-cs"/>
          </a:endParaRPr>
        </a:p>
        <a:p>
          <a:pPr>
            <a:buNone/>
          </a:pPr>
          <a:r>
            <a:rPr lang="en-NZ" sz="600">
              <a:solidFill>
                <a:sysClr val="window" lastClr="FFFFFF"/>
              </a:solidFill>
              <a:latin typeface="Arial Narrow" panose="020B0606020202030204" pitchFamily="34" charset="0"/>
              <a:ea typeface="+mn-ea"/>
              <a:cs typeface="+mn-cs"/>
            </a:rPr>
            <a:t>Maintenance requirements</a:t>
          </a:r>
        </a:p>
        <a:p>
          <a:pPr>
            <a:buNone/>
          </a:pPr>
          <a:r>
            <a:rPr lang="en-NZ" sz="600">
              <a:solidFill>
                <a:sysClr val="window" lastClr="FFFFFF"/>
              </a:solidFill>
              <a:latin typeface="Arial Narrow" panose="020B0606020202030204" pitchFamily="34" charset="0"/>
              <a:ea typeface="+mn-ea"/>
              <a:cs typeface="+mn-cs"/>
            </a:rPr>
            <a:t>Equipment changes</a:t>
          </a:r>
        </a:p>
        <a:p>
          <a:pPr>
            <a:buNone/>
          </a:pPr>
          <a:r>
            <a:rPr lang="en-NZ" sz="600">
              <a:solidFill>
                <a:sysClr val="window" lastClr="FFFFFF"/>
              </a:solidFill>
              <a:latin typeface="Arial Narrow" panose="020B0606020202030204" pitchFamily="34" charset="0"/>
              <a:ea typeface="+mn-ea"/>
              <a:cs typeface="+mn-cs"/>
            </a:rPr>
            <a:t>Condition monitoring</a:t>
          </a:r>
        </a:p>
        <a:p>
          <a:pPr>
            <a:buNone/>
          </a:pPr>
          <a:r>
            <a:rPr lang="en-NZ" sz="600">
              <a:solidFill>
                <a:sysClr val="window" lastClr="FFFFFF"/>
              </a:solidFill>
              <a:latin typeface="Arial Narrow" panose="020B0606020202030204" pitchFamily="34" charset="0"/>
              <a:ea typeface="+mn-ea"/>
              <a:cs typeface="+mn-cs"/>
            </a:rPr>
            <a:t>Renewal / upgrade required in future</a:t>
          </a:r>
        </a:p>
      </dgm:t>
    </dgm:pt>
    <dgm:pt modelId="{FA6A95E6-2FA0-4A65-91C8-3C6C3E9E43D7}" type="parTrans" cxnId="{88B68D40-042E-49BA-8545-6550B08FA5EA}">
      <dgm:prSet/>
      <dgm:spPr/>
      <dgm:t>
        <a:bodyPr/>
        <a:lstStyle/>
        <a:p>
          <a:endParaRPr lang="en-NZ"/>
        </a:p>
      </dgm:t>
    </dgm:pt>
    <dgm:pt modelId="{8DDE5933-096D-4ACA-8270-250E1D13A09A}" type="sibTrans" cxnId="{88B68D40-042E-49BA-8545-6550B08FA5EA}">
      <dgm:prSet/>
      <dgm:spPr/>
      <dgm:t>
        <a:bodyPr/>
        <a:lstStyle/>
        <a:p>
          <a:endParaRPr lang="en-NZ"/>
        </a:p>
      </dgm:t>
    </dgm:pt>
    <dgm:pt modelId="{CF76346E-517D-4478-9E13-916250B6B6FD}">
      <dgm:prSet phldrT="[Text]" custT="1"/>
      <dgm:spPr>
        <a:xfrm>
          <a:off x="817223" y="853207"/>
          <a:ext cx="1314766" cy="657383"/>
        </a:xfrm>
        <a:prstGeom prst="roundRect">
          <a:avLst/>
        </a:prstGeom>
        <a:solidFill>
          <a:srgbClr val="9BBB59">
            <a:hueOff val="11250264"/>
            <a:satOff val="-16880"/>
            <a:lumOff val="-2745"/>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NZ" sz="800" b="1">
              <a:solidFill>
                <a:sysClr val="window" lastClr="FFFFFF"/>
              </a:solidFill>
              <a:latin typeface="Arial Narrow" panose="020B0606020202030204" pitchFamily="34" charset="0"/>
              <a:ea typeface="+mn-ea"/>
              <a:cs typeface="+mn-cs"/>
            </a:rPr>
            <a:t>5. Disposal</a:t>
          </a:r>
          <a:endParaRPr lang="en-NZ" sz="800">
            <a:solidFill>
              <a:sysClr val="window" lastClr="FFFFFF"/>
            </a:solidFill>
            <a:latin typeface="Arial Narrow" panose="020B0606020202030204" pitchFamily="34" charset="0"/>
            <a:ea typeface="+mn-ea"/>
            <a:cs typeface="+mn-cs"/>
          </a:endParaRPr>
        </a:p>
        <a:p>
          <a:pPr>
            <a:buNone/>
          </a:pPr>
          <a:r>
            <a:rPr lang="en-NZ" sz="600">
              <a:solidFill>
                <a:sysClr val="window" lastClr="FFFFFF"/>
              </a:solidFill>
              <a:latin typeface="Arial Narrow" panose="020B0606020202030204" pitchFamily="34" charset="0"/>
              <a:ea typeface="+mn-ea"/>
              <a:cs typeface="+mn-cs"/>
            </a:rPr>
            <a:t>Decommissioning cost / equipment / energy</a:t>
          </a:r>
        </a:p>
        <a:p>
          <a:pPr>
            <a:buNone/>
          </a:pPr>
          <a:r>
            <a:rPr lang="en-NZ" sz="600">
              <a:solidFill>
                <a:sysClr val="window" lastClr="FFFFFF"/>
              </a:solidFill>
              <a:latin typeface="Arial Narrow" panose="020B0606020202030204" pitchFamily="34" charset="0"/>
              <a:ea typeface="+mn-ea"/>
              <a:cs typeface="+mn-cs"/>
            </a:rPr>
            <a:t>Ability to recycle. </a:t>
          </a:r>
        </a:p>
        <a:p>
          <a:pPr>
            <a:buNone/>
          </a:pPr>
          <a:r>
            <a:rPr lang="en-NZ" sz="600">
              <a:solidFill>
                <a:sysClr val="window" lastClr="FFFFFF"/>
              </a:solidFill>
              <a:latin typeface="Arial Narrow" panose="020B0606020202030204" pitchFamily="34" charset="0"/>
              <a:ea typeface="+mn-ea"/>
              <a:cs typeface="+mn-cs"/>
            </a:rPr>
            <a:t>Environmental impacts of left in place</a:t>
          </a:r>
          <a:r>
            <a:rPr lang="en-NZ" sz="600">
              <a:solidFill>
                <a:sysClr val="window" lastClr="FFFFFF"/>
              </a:solidFill>
              <a:latin typeface="Calibri"/>
              <a:ea typeface="+mn-ea"/>
              <a:cs typeface="+mn-cs"/>
            </a:rPr>
            <a:t>.</a:t>
          </a:r>
          <a:r>
            <a:rPr lang="en-NZ" sz="500">
              <a:solidFill>
                <a:sysClr val="window" lastClr="FFFFFF"/>
              </a:solidFill>
              <a:latin typeface="Calibri"/>
              <a:ea typeface="+mn-ea"/>
              <a:cs typeface="+mn-cs"/>
            </a:rPr>
            <a:t> </a:t>
          </a:r>
        </a:p>
      </dgm:t>
    </dgm:pt>
    <dgm:pt modelId="{4AD9C8A0-C465-4A11-B8D3-40EA580BA79B}" type="parTrans" cxnId="{09A35612-0B3C-434E-A599-BA2248F4FB28}">
      <dgm:prSet/>
      <dgm:spPr/>
      <dgm:t>
        <a:bodyPr/>
        <a:lstStyle/>
        <a:p>
          <a:endParaRPr lang="en-NZ"/>
        </a:p>
      </dgm:t>
    </dgm:pt>
    <dgm:pt modelId="{34A60FF4-5B91-4B86-B21D-D75399D8F27C}" type="sibTrans" cxnId="{09A35612-0B3C-434E-A599-BA2248F4FB28}">
      <dgm:prSet/>
      <dgm:spPr/>
      <dgm:t>
        <a:bodyPr/>
        <a:lstStyle/>
        <a:p>
          <a:endParaRPr lang="en-NZ"/>
        </a:p>
      </dgm:t>
    </dgm:pt>
    <dgm:pt modelId="{9B6A5F60-3147-4C91-BC9B-070700FC8637}" type="pres">
      <dgm:prSet presAssocID="{4AC0181B-4772-4E65-9267-9BDC1ADB14E5}" presName="Name0" presStyleCnt="0">
        <dgm:presLayoutVars>
          <dgm:dir/>
          <dgm:resizeHandles val="exact"/>
        </dgm:presLayoutVars>
      </dgm:prSet>
      <dgm:spPr/>
    </dgm:pt>
    <dgm:pt modelId="{A4B7D27B-098A-4C36-B5BC-886D42E22146}" type="pres">
      <dgm:prSet presAssocID="{4AC0181B-4772-4E65-9267-9BDC1ADB14E5}" presName="cycle" presStyleCnt="0"/>
      <dgm:spPr/>
    </dgm:pt>
    <dgm:pt modelId="{6688318D-B7B5-479A-AA95-F7E6DCBE2FE2}" type="pres">
      <dgm:prSet presAssocID="{71F1AF87-F110-49BE-8D71-7BE5201486E2}" presName="nodeFirstNode" presStyleLbl="node1" presStyleIdx="0" presStyleCnt="5" custScaleX="101069" custScaleY="114851">
        <dgm:presLayoutVars>
          <dgm:bulletEnabled val="1"/>
        </dgm:presLayoutVars>
      </dgm:prSet>
      <dgm:spPr/>
    </dgm:pt>
    <dgm:pt modelId="{502E7DBC-6DD2-492C-9413-D30B9A06EEBC}" type="pres">
      <dgm:prSet presAssocID="{9CC834F0-851D-4816-82AE-B0D514A4168F}" presName="sibTransFirstNode" presStyleLbl="bgShp" presStyleIdx="0" presStyleCnt="1"/>
      <dgm:spPr/>
    </dgm:pt>
    <dgm:pt modelId="{C7B7D049-4127-4A2A-BE8D-972F97F263A3}" type="pres">
      <dgm:prSet presAssocID="{64F6ED6E-64AC-461B-ACD1-129930577E36}" presName="nodeFollowingNodes" presStyleLbl="node1" presStyleIdx="1" presStyleCnt="5" custScaleX="101095" custScaleY="123379">
        <dgm:presLayoutVars>
          <dgm:bulletEnabled val="1"/>
        </dgm:presLayoutVars>
      </dgm:prSet>
      <dgm:spPr/>
    </dgm:pt>
    <dgm:pt modelId="{71768A40-5ED4-4EEF-8BC4-3982E7EC0DF0}" type="pres">
      <dgm:prSet presAssocID="{4D6E7352-B244-4616-A64D-36B1AFDEC2A5}" presName="nodeFollowingNodes" presStyleLbl="node1" presStyleIdx="2" presStyleCnt="5" custScaleX="101415" custScaleY="122543">
        <dgm:presLayoutVars>
          <dgm:bulletEnabled val="1"/>
        </dgm:presLayoutVars>
      </dgm:prSet>
      <dgm:spPr/>
    </dgm:pt>
    <dgm:pt modelId="{37971B3A-7F75-4700-A2F9-3C5DD5F8A356}" type="pres">
      <dgm:prSet presAssocID="{83FDC529-CECF-45F0-BC06-A0EB181B9055}" presName="nodeFollowingNodes" presStyleLbl="node1" presStyleIdx="3" presStyleCnt="5" custScaleX="105028" custScaleY="122543">
        <dgm:presLayoutVars>
          <dgm:bulletEnabled val="1"/>
        </dgm:presLayoutVars>
      </dgm:prSet>
      <dgm:spPr/>
    </dgm:pt>
    <dgm:pt modelId="{2CFCD95C-B844-4BEE-ACD7-C1E95C0CA011}" type="pres">
      <dgm:prSet presAssocID="{CF76346E-517D-4478-9E13-916250B6B6FD}" presName="nodeFollowingNodes" presStyleLbl="node1" presStyleIdx="4" presStyleCnt="5" custScaleX="108136" custScaleY="126853">
        <dgm:presLayoutVars>
          <dgm:bulletEnabled val="1"/>
        </dgm:presLayoutVars>
      </dgm:prSet>
      <dgm:spPr/>
    </dgm:pt>
  </dgm:ptLst>
  <dgm:cxnLst>
    <dgm:cxn modelId="{0CBDDE07-E664-409D-BB5C-949595C492BF}" type="presOf" srcId="{9CC834F0-851D-4816-82AE-B0D514A4168F}" destId="{502E7DBC-6DD2-492C-9413-D30B9A06EEBC}" srcOrd="0" destOrd="0" presId="urn:microsoft.com/office/officeart/2005/8/layout/cycle3"/>
    <dgm:cxn modelId="{09A35612-0B3C-434E-A599-BA2248F4FB28}" srcId="{4AC0181B-4772-4E65-9267-9BDC1ADB14E5}" destId="{CF76346E-517D-4478-9E13-916250B6B6FD}" srcOrd="4" destOrd="0" parTransId="{4AD9C8A0-C465-4A11-B8D3-40EA580BA79B}" sibTransId="{34A60FF4-5B91-4B86-B21D-D75399D8F27C}"/>
    <dgm:cxn modelId="{1F97F120-43F3-4B73-A01B-AE67BD014B45}" type="presOf" srcId="{4AC0181B-4772-4E65-9267-9BDC1ADB14E5}" destId="{9B6A5F60-3147-4C91-BC9B-070700FC8637}" srcOrd="0" destOrd="0" presId="urn:microsoft.com/office/officeart/2005/8/layout/cycle3"/>
    <dgm:cxn modelId="{B0A0DA21-35AA-4C81-8E32-6B4501DF8C9C}" type="presOf" srcId="{CF76346E-517D-4478-9E13-916250B6B6FD}" destId="{2CFCD95C-B844-4BEE-ACD7-C1E95C0CA011}" srcOrd="0" destOrd="0" presId="urn:microsoft.com/office/officeart/2005/8/layout/cycle3"/>
    <dgm:cxn modelId="{88B68D40-042E-49BA-8545-6550B08FA5EA}" srcId="{4AC0181B-4772-4E65-9267-9BDC1ADB14E5}" destId="{83FDC529-CECF-45F0-BC06-A0EB181B9055}" srcOrd="3" destOrd="0" parTransId="{FA6A95E6-2FA0-4A65-91C8-3C6C3E9E43D7}" sibTransId="{8DDE5933-096D-4ACA-8270-250E1D13A09A}"/>
    <dgm:cxn modelId="{73ABE17A-2720-4CD2-93A3-F046391112D6}" type="presOf" srcId="{4D6E7352-B244-4616-A64D-36B1AFDEC2A5}" destId="{71768A40-5ED4-4EEF-8BC4-3982E7EC0DF0}" srcOrd="0" destOrd="0" presId="urn:microsoft.com/office/officeart/2005/8/layout/cycle3"/>
    <dgm:cxn modelId="{05125781-BDF7-404D-8650-EC195D80F432}" type="presOf" srcId="{71F1AF87-F110-49BE-8D71-7BE5201486E2}" destId="{6688318D-B7B5-479A-AA95-F7E6DCBE2FE2}" srcOrd="0" destOrd="0" presId="urn:microsoft.com/office/officeart/2005/8/layout/cycle3"/>
    <dgm:cxn modelId="{B53E18BE-8066-46C9-80F9-5489E6E9BC43}" srcId="{4AC0181B-4772-4E65-9267-9BDC1ADB14E5}" destId="{71F1AF87-F110-49BE-8D71-7BE5201486E2}" srcOrd="0" destOrd="0" parTransId="{C48694C1-6E98-4E75-BB11-501DC9EF004A}" sibTransId="{9CC834F0-851D-4816-82AE-B0D514A4168F}"/>
    <dgm:cxn modelId="{5A74F9C2-ED05-45AE-A469-24C70899E9C6}" type="presOf" srcId="{64F6ED6E-64AC-461B-ACD1-129930577E36}" destId="{C7B7D049-4127-4A2A-BE8D-972F97F263A3}" srcOrd="0" destOrd="0" presId="urn:microsoft.com/office/officeart/2005/8/layout/cycle3"/>
    <dgm:cxn modelId="{DD999DDB-7393-44ED-9D91-49C0BFE842D1}" type="presOf" srcId="{83FDC529-CECF-45F0-BC06-A0EB181B9055}" destId="{37971B3A-7F75-4700-A2F9-3C5DD5F8A356}" srcOrd="0" destOrd="0" presId="urn:microsoft.com/office/officeart/2005/8/layout/cycle3"/>
    <dgm:cxn modelId="{502B25E7-CDF2-4461-9A1B-BFFEEDC15A92}" srcId="{4AC0181B-4772-4E65-9267-9BDC1ADB14E5}" destId="{4D6E7352-B244-4616-A64D-36B1AFDEC2A5}" srcOrd="2" destOrd="0" parTransId="{898CA0BE-2E1D-4AFE-B274-FA43B33BFD37}" sibTransId="{D7F02C81-08CD-4567-808E-960D12B5AB05}"/>
    <dgm:cxn modelId="{A6894BF7-B7EC-434B-8A9C-0BFE2BA4DDB1}" srcId="{4AC0181B-4772-4E65-9267-9BDC1ADB14E5}" destId="{64F6ED6E-64AC-461B-ACD1-129930577E36}" srcOrd="1" destOrd="0" parTransId="{31C0AC70-3937-4238-AE7E-FC7726EB532F}" sibTransId="{7555CF93-AE55-4824-A8E2-19E8DDED02A2}"/>
    <dgm:cxn modelId="{E6C8AF91-B416-4966-B614-0C86EB0C01C5}" type="presParOf" srcId="{9B6A5F60-3147-4C91-BC9B-070700FC8637}" destId="{A4B7D27B-098A-4C36-B5BC-886D42E22146}" srcOrd="0" destOrd="0" presId="urn:microsoft.com/office/officeart/2005/8/layout/cycle3"/>
    <dgm:cxn modelId="{703FB06F-A127-416A-BBBF-4C23028C2646}" type="presParOf" srcId="{A4B7D27B-098A-4C36-B5BC-886D42E22146}" destId="{6688318D-B7B5-479A-AA95-F7E6DCBE2FE2}" srcOrd="0" destOrd="0" presId="urn:microsoft.com/office/officeart/2005/8/layout/cycle3"/>
    <dgm:cxn modelId="{F5C93F81-32CC-4E59-9312-BB4749B39BAF}" type="presParOf" srcId="{A4B7D27B-098A-4C36-B5BC-886D42E22146}" destId="{502E7DBC-6DD2-492C-9413-D30B9A06EEBC}" srcOrd="1" destOrd="0" presId="urn:microsoft.com/office/officeart/2005/8/layout/cycle3"/>
    <dgm:cxn modelId="{F873D47E-8771-4091-BB6B-BEEB75707716}" type="presParOf" srcId="{A4B7D27B-098A-4C36-B5BC-886D42E22146}" destId="{C7B7D049-4127-4A2A-BE8D-972F97F263A3}" srcOrd="2" destOrd="0" presId="urn:microsoft.com/office/officeart/2005/8/layout/cycle3"/>
    <dgm:cxn modelId="{10DE65A6-B171-46B0-9B55-028E1DC49D29}" type="presParOf" srcId="{A4B7D27B-098A-4C36-B5BC-886D42E22146}" destId="{71768A40-5ED4-4EEF-8BC4-3982E7EC0DF0}" srcOrd="3" destOrd="0" presId="urn:microsoft.com/office/officeart/2005/8/layout/cycle3"/>
    <dgm:cxn modelId="{C2CBF1AB-F047-4F79-8DFA-84DED4A1A6AA}" type="presParOf" srcId="{A4B7D27B-098A-4C36-B5BC-886D42E22146}" destId="{37971B3A-7F75-4700-A2F9-3C5DD5F8A356}" srcOrd="4" destOrd="0" presId="urn:microsoft.com/office/officeart/2005/8/layout/cycle3"/>
    <dgm:cxn modelId="{6C06B5DE-B531-4513-8983-C7EB5B4FDCE2}" type="presParOf" srcId="{A4B7D27B-098A-4C36-B5BC-886D42E22146}" destId="{2CFCD95C-B844-4BEE-ACD7-C1E95C0CA011}" srcOrd="5" destOrd="0" presId="urn:microsoft.com/office/officeart/2005/8/layout/cycle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2E7DBC-6DD2-492C-9413-D30B9A06EEBC}">
      <dsp:nvSpPr>
        <dsp:cNvPr id="0" name=""/>
        <dsp:cNvSpPr/>
      </dsp:nvSpPr>
      <dsp:spPr>
        <a:xfrm>
          <a:off x="1224533" y="-31874"/>
          <a:ext cx="2892551" cy="2892551"/>
        </a:xfrm>
        <a:prstGeom prst="circularArrow">
          <a:avLst>
            <a:gd name="adj1" fmla="val 5544"/>
            <a:gd name="adj2" fmla="val 330680"/>
            <a:gd name="adj3" fmla="val 13843356"/>
            <a:gd name="adj4" fmla="val 17345062"/>
            <a:gd name="adj5" fmla="val 5757"/>
          </a:avLst>
        </a:prstGeom>
        <a:solidFill>
          <a:srgbClr val="9BBB59">
            <a:tint val="40000"/>
            <a:hueOff val="0"/>
            <a:satOff val="0"/>
            <a:lumOff val="0"/>
            <a:alphaOff val="0"/>
          </a:srgbClr>
        </a:solidFill>
        <a:ln w="9525" cap="flat" cmpd="sng" algn="ctr">
          <a:solidFill>
            <a:sysClr val="windowText" lastClr="000000">
              <a:hueOff val="0"/>
              <a:satOff val="0"/>
              <a:lumOff val="0"/>
              <a:alphaOff val="0"/>
            </a:sysClr>
          </a:solidFill>
          <a:prstDash val="solid"/>
          <a:miter lim="800000"/>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6688318D-B7B5-479A-AA95-F7E6DCBE2FE2}">
      <dsp:nvSpPr>
        <dsp:cNvPr id="0" name=""/>
        <dsp:cNvSpPr/>
      </dsp:nvSpPr>
      <dsp:spPr>
        <a:xfrm>
          <a:off x="2006389" y="-60477"/>
          <a:ext cx="1328838" cy="755020"/>
        </a:xfrm>
        <a:prstGeom prst="roundRect">
          <a:avLst/>
        </a:prstGeom>
        <a:solidFill>
          <a:srgbClr val="9BBB59">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NZ" sz="800" b="1" kern="1200">
              <a:solidFill>
                <a:sysClr val="window" lastClr="FFFFFF"/>
              </a:solidFill>
              <a:latin typeface="Arial Narrow" panose="020B0606020202030204" pitchFamily="34" charset="0"/>
              <a:ea typeface="+mn-ea"/>
              <a:cs typeface="+mn-cs"/>
            </a:rPr>
            <a:t>1. Planning</a:t>
          </a:r>
        </a:p>
        <a:p>
          <a:pPr marL="0" lvl="0" indent="0" algn="ctr" defTabSz="355600">
            <a:lnSpc>
              <a:spcPct val="90000"/>
            </a:lnSpc>
            <a:spcBef>
              <a:spcPct val="0"/>
            </a:spcBef>
            <a:spcAft>
              <a:spcPct val="35000"/>
            </a:spcAft>
            <a:buNone/>
          </a:pPr>
          <a:r>
            <a:rPr lang="en-NZ" sz="600" kern="1200">
              <a:solidFill>
                <a:sysClr val="window" lastClr="FFFFFF"/>
              </a:solidFill>
              <a:latin typeface="Arial Narrow" panose="020B0606020202030204" pitchFamily="34" charset="0"/>
              <a:ea typeface="+mn-ea"/>
              <a:cs typeface="+mn-cs"/>
            </a:rPr>
            <a:t>Confirm the business need</a:t>
          </a:r>
        </a:p>
        <a:p>
          <a:pPr marL="0" lvl="0" indent="0" algn="ctr" defTabSz="355600">
            <a:lnSpc>
              <a:spcPct val="90000"/>
            </a:lnSpc>
            <a:spcBef>
              <a:spcPct val="0"/>
            </a:spcBef>
            <a:spcAft>
              <a:spcPct val="35000"/>
            </a:spcAft>
            <a:buNone/>
          </a:pPr>
          <a:r>
            <a:rPr lang="en-NZ" sz="600" kern="1200">
              <a:solidFill>
                <a:sysClr val="window" lastClr="FFFFFF"/>
              </a:solidFill>
              <a:latin typeface="Arial Narrow" panose="020B0606020202030204" pitchFamily="34" charset="0"/>
              <a:ea typeface="+mn-ea"/>
              <a:cs typeface="+mn-cs"/>
            </a:rPr>
            <a:t>Identify preferred option</a:t>
          </a:r>
        </a:p>
      </dsp:txBody>
      <dsp:txXfrm>
        <a:off x="2043246" y="-23620"/>
        <a:ext cx="1255124" cy="681306"/>
      </dsp:txXfrm>
    </dsp:sp>
    <dsp:sp modelId="{C7B7D049-4127-4A2A-BE8D-972F97F263A3}">
      <dsp:nvSpPr>
        <dsp:cNvPr id="0" name=""/>
        <dsp:cNvSpPr/>
      </dsp:nvSpPr>
      <dsp:spPr>
        <a:xfrm>
          <a:off x="3179344" y="763816"/>
          <a:ext cx="1329179" cy="811083"/>
        </a:xfrm>
        <a:prstGeom prst="roundRect">
          <a:avLst/>
        </a:prstGeom>
        <a:solidFill>
          <a:srgbClr val="9BBB59">
            <a:hueOff val="2812566"/>
            <a:satOff val="-4220"/>
            <a:lumOff val="-686"/>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NZ" sz="800" b="1" kern="1200">
              <a:solidFill>
                <a:sysClr val="window" lastClr="FFFFFF"/>
              </a:solidFill>
              <a:latin typeface="Arial Narrow" panose="020B0606020202030204" pitchFamily="34" charset="0"/>
              <a:ea typeface="+mn-ea"/>
              <a:cs typeface="+mn-cs"/>
            </a:rPr>
            <a:t>2. Design</a:t>
          </a:r>
          <a:endParaRPr lang="en-NZ" sz="800" kern="1200">
            <a:solidFill>
              <a:sysClr val="window" lastClr="FFFFFF"/>
            </a:solidFill>
            <a:latin typeface="Arial Narrow" panose="020B0606020202030204" pitchFamily="34" charset="0"/>
            <a:ea typeface="+mn-ea"/>
            <a:cs typeface="+mn-cs"/>
          </a:endParaRPr>
        </a:p>
        <a:p>
          <a:pPr marL="0" lvl="0" indent="0" algn="ctr" defTabSz="355600">
            <a:lnSpc>
              <a:spcPct val="90000"/>
            </a:lnSpc>
            <a:spcBef>
              <a:spcPct val="0"/>
            </a:spcBef>
            <a:spcAft>
              <a:spcPct val="35000"/>
            </a:spcAft>
            <a:buNone/>
          </a:pPr>
          <a:r>
            <a:rPr lang="en-NZ" sz="600" kern="1200">
              <a:solidFill>
                <a:sysClr val="window" lastClr="FFFFFF"/>
              </a:solidFill>
              <a:latin typeface="Arial Narrow" panose="020B0606020202030204" pitchFamily="34" charset="0"/>
              <a:ea typeface="+mn-ea"/>
              <a:cs typeface="+mn-cs"/>
            </a:rPr>
            <a:t>Refine solution, </a:t>
          </a:r>
        </a:p>
        <a:p>
          <a:pPr marL="0" lvl="0" indent="0" algn="ctr" defTabSz="355600">
            <a:lnSpc>
              <a:spcPct val="90000"/>
            </a:lnSpc>
            <a:spcBef>
              <a:spcPct val="0"/>
            </a:spcBef>
            <a:spcAft>
              <a:spcPct val="35000"/>
            </a:spcAft>
            <a:buNone/>
          </a:pPr>
          <a:r>
            <a:rPr lang="en-NZ" sz="600" kern="1200">
              <a:solidFill>
                <a:sysClr val="window" lastClr="FFFFFF"/>
              </a:solidFill>
              <a:latin typeface="Arial Narrow" panose="020B0606020202030204" pitchFamily="34" charset="0"/>
              <a:ea typeface="+mn-ea"/>
              <a:cs typeface="+mn-cs"/>
            </a:rPr>
            <a:t>influence scope, specifications,</a:t>
          </a:r>
        </a:p>
        <a:p>
          <a:pPr marL="0" lvl="0" indent="0" algn="ctr" defTabSz="355600">
            <a:lnSpc>
              <a:spcPct val="90000"/>
            </a:lnSpc>
            <a:spcBef>
              <a:spcPct val="0"/>
            </a:spcBef>
            <a:spcAft>
              <a:spcPct val="35000"/>
            </a:spcAft>
            <a:buNone/>
          </a:pPr>
          <a:r>
            <a:rPr lang="en-NZ" sz="600" kern="1200">
              <a:solidFill>
                <a:sysClr val="window" lastClr="FFFFFF"/>
              </a:solidFill>
              <a:latin typeface="Arial Narrow" panose="020B0606020202030204" pitchFamily="34" charset="0"/>
              <a:ea typeface="+mn-ea"/>
              <a:cs typeface="+mn-cs"/>
            </a:rPr>
            <a:t> materials, and construction methodology</a:t>
          </a:r>
        </a:p>
      </dsp:txBody>
      <dsp:txXfrm>
        <a:off x="3218938" y="803410"/>
        <a:ext cx="1249991" cy="731895"/>
      </dsp:txXfrm>
    </dsp:sp>
    <dsp:sp modelId="{71768A40-5ED4-4EEF-8BC4-3982E7EC0DF0}">
      <dsp:nvSpPr>
        <dsp:cNvPr id="0" name=""/>
        <dsp:cNvSpPr/>
      </dsp:nvSpPr>
      <dsp:spPr>
        <a:xfrm>
          <a:off x="2729146" y="2145656"/>
          <a:ext cx="1333387" cy="805587"/>
        </a:xfrm>
        <a:prstGeom prst="roundRect">
          <a:avLst/>
        </a:prstGeom>
        <a:solidFill>
          <a:srgbClr val="9BBB59">
            <a:hueOff val="5625132"/>
            <a:satOff val="-8440"/>
            <a:lumOff val="-1373"/>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NZ" sz="800" b="1" kern="1200">
              <a:solidFill>
                <a:sysClr val="window" lastClr="FFFFFF"/>
              </a:solidFill>
              <a:latin typeface="Arial Narrow" panose="020B0606020202030204" pitchFamily="34" charset="0"/>
              <a:ea typeface="+mn-ea"/>
              <a:cs typeface="+mn-cs"/>
            </a:rPr>
            <a:t>3. Construction &amp; handover</a:t>
          </a:r>
          <a:endParaRPr lang="en-NZ" sz="800" kern="1200">
            <a:solidFill>
              <a:sysClr val="window" lastClr="FFFFFF"/>
            </a:solidFill>
            <a:latin typeface="Arial Narrow" panose="020B0606020202030204" pitchFamily="34" charset="0"/>
            <a:ea typeface="+mn-ea"/>
            <a:cs typeface="+mn-cs"/>
          </a:endParaRPr>
        </a:p>
        <a:p>
          <a:pPr marL="0" lvl="0" indent="0" algn="ctr" defTabSz="355600">
            <a:lnSpc>
              <a:spcPct val="90000"/>
            </a:lnSpc>
            <a:spcBef>
              <a:spcPct val="0"/>
            </a:spcBef>
            <a:spcAft>
              <a:spcPct val="35000"/>
            </a:spcAft>
            <a:buNone/>
          </a:pPr>
          <a:r>
            <a:rPr lang="en-NZ" sz="500" kern="1200">
              <a:solidFill>
                <a:sysClr val="window" lastClr="FFFFFF"/>
              </a:solidFill>
              <a:latin typeface="Arial Narrow" panose="020B0606020202030204" pitchFamily="34" charset="0"/>
              <a:ea typeface="+mn-ea"/>
              <a:cs typeface="+mn-cs"/>
            </a:rPr>
            <a:t>E</a:t>
          </a:r>
          <a:r>
            <a:rPr lang="en-NZ" sz="600" kern="1200">
              <a:solidFill>
                <a:sysClr val="window" lastClr="FFFFFF"/>
              </a:solidFill>
              <a:latin typeface="Arial Narrow" panose="020B0606020202030204" pitchFamily="34" charset="0"/>
              <a:ea typeface="+mn-ea"/>
              <a:cs typeface="+mn-cs"/>
            </a:rPr>
            <a:t>fficiently delivering solution (e.g. programme, vehicle movements, P&amp;G's)</a:t>
          </a:r>
        </a:p>
        <a:p>
          <a:pPr marL="0" lvl="0" indent="0" algn="ctr" defTabSz="355600">
            <a:lnSpc>
              <a:spcPct val="90000"/>
            </a:lnSpc>
            <a:spcBef>
              <a:spcPct val="0"/>
            </a:spcBef>
            <a:spcAft>
              <a:spcPct val="35000"/>
            </a:spcAft>
            <a:buNone/>
          </a:pPr>
          <a:r>
            <a:rPr lang="en-NZ" sz="600" kern="1200">
              <a:solidFill>
                <a:sysClr val="window" lastClr="FFFFFF"/>
              </a:solidFill>
              <a:latin typeface="Arial Narrow" panose="020B0606020202030204" pitchFamily="34" charset="0"/>
              <a:ea typeface="+mn-ea"/>
              <a:cs typeface="+mn-cs"/>
            </a:rPr>
            <a:t>Being environmentally conscious of construction activities and impacts</a:t>
          </a:r>
        </a:p>
        <a:p>
          <a:pPr marL="0" lvl="0" indent="0" algn="ctr" defTabSz="355600">
            <a:lnSpc>
              <a:spcPct val="90000"/>
            </a:lnSpc>
            <a:spcBef>
              <a:spcPct val="0"/>
            </a:spcBef>
            <a:spcAft>
              <a:spcPct val="35000"/>
            </a:spcAft>
            <a:buNone/>
          </a:pPr>
          <a:r>
            <a:rPr lang="en-NZ" sz="600" kern="1200">
              <a:solidFill>
                <a:sysClr val="window" lastClr="FFFFFF"/>
              </a:solidFill>
              <a:latin typeface="Arial Narrow" panose="020B0606020202030204" pitchFamily="34" charset="0"/>
              <a:ea typeface="+mn-ea"/>
              <a:cs typeface="+mn-cs"/>
            </a:rPr>
            <a:t>Quality assurance to ensure assets are constructed  to reach intended design life</a:t>
          </a:r>
        </a:p>
      </dsp:txBody>
      <dsp:txXfrm>
        <a:off x="2768472" y="2184982"/>
        <a:ext cx="1254735" cy="726935"/>
      </dsp:txXfrm>
    </dsp:sp>
    <dsp:sp modelId="{37971B3A-7F75-4700-A2F9-3C5DD5F8A356}">
      <dsp:nvSpPr>
        <dsp:cNvPr id="0" name=""/>
        <dsp:cNvSpPr/>
      </dsp:nvSpPr>
      <dsp:spPr>
        <a:xfrm>
          <a:off x="1255332" y="2145656"/>
          <a:ext cx="1380890" cy="805587"/>
        </a:xfrm>
        <a:prstGeom prst="roundRect">
          <a:avLst/>
        </a:prstGeom>
        <a:solidFill>
          <a:srgbClr val="9BBB59">
            <a:hueOff val="8437698"/>
            <a:satOff val="-12660"/>
            <a:lumOff val="-2059"/>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NZ" sz="800" b="1" kern="1200">
              <a:solidFill>
                <a:sysClr val="window" lastClr="FFFFFF"/>
              </a:solidFill>
              <a:latin typeface="Arial Narrow" panose="020B0606020202030204" pitchFamily="34" charset="0"/>
              <a:ea typeface="+mn-ea"/>
              <a:cs typeface="+mn-cs"/>
            </a:rPr>
            <a:t>4. In-service Operation</a:t>
          </a:r>
          <a:endParaRPr lang="en-NZ" sz="800" kern="1200">
            <a:solidFill>
              <a:sysClr val="window" lastClr="FFFFFF"/>
            </a:solidFill>
            <a:latin typeface="Arial Narrow" panose="020B0606020202030204" pitchFamily="34" charset="0"/>
            <a:ea typeface="+mn-ea"/>
            <a:cs typeface="+mn-cs"/>
          </a:endParaRPr>
        </a:p>
        <a:p>
          <a:pPr marL="0" lvl="0" indent="0" algn="ctr" defTabSz="355600">
            <a:lnSpc>
              <a:spcPct val="90000"/>
            </a:lnSpc>
            <a:spcBef>
              <a:spcPct val="0"/>
            </a:spcBef>
            <a:spcAft>
              <a:spcPct val="35000"/>
            </a:spcAft>
            <a:buNone/>
          </a:pPr>
          <a:r>
            <a:rPr lang="en-NZ" sz="600" kern="1200">
              <a:solidFill>
                <a:sysClr val="window" lastClr="FFFFFF"/>
              </a:solidFill>
              <a:latin typeface="Arial Narrow" panose="020B0606020202030204" pitchFamily="34" charset="0"/>
              <a:ea typeface="+mn-ea"/>
              <a:cs typeface="+mn-cs"/>
            </a:rPr>
            <a:t>Maintenance requirements</a:t>
          </a:r>
        </a:p>
        <a:p>
          <a:pPr marL="0" lvl="0" indent="0" algn="ctr" defTabSz="355600">
            <a:lnSpc>
              <a:spcPct val="90000"/>
            </a:lnSpc>
            <a:spcBef>
              <a:spcPct val="0"/>
            </a:spcBef>
            <a:spcAft>
              <a:spcPct val="35000"/>
            </a:spcAft>
            <a:buNone/>
          </a:pPr>
          <a:r>
            <a:rPr lang="en-NZ" sz="600" kern="1200">
              <a:solidFill>
                <a:sysClr val="window" lastClr="FFFFFF"/>
              </a:solidFill>
              <a:latin typeface="Arial Narrow" panose="020B0606020202030204" pitchFamily="34" charset="0"/>
              <a:ea typeface="+mn-ea"/>
              <a:cs typeface="+mn-cs"/>
            </a:rPr>
            <a:t>Equipment changes</a:t>
          </a:r>
        </a:p>
        <a:p>
          <a:pPr marL="0" lvl="0" indent="0" algn="ctr" defTabSz="355600">
            <a:lnSpc>
              <a:spcPct val="90000"/>
            </a:lnSpc>
            <a:spcBef>
              <a:spcPct val="0"/>
            </a:spcBef>
            <a:spcAft>
              <a:spcPct val="35000"/>
            </a:spcAft>
            <a:buNone/>
          </a:pPr>
          <a:r>
            <a:rPr lang="en-NZ" sz="600" kern="1200">
              <a:solidFill>
                <a:sysClr val="window" lastClr="FFFFFF"/>
              </a:solidFill>
              <a:latin typeface="Arial Narrow" panose="020B0606020202030204" pitchFamily="34" charset="0"/>
              <a:ea typeface="+mn-ea"/>
              <a:cs typeface="+mn-cs"/>
            </a:rPr>
            <a:t>Condition monitoring</a:t>
          </a:r>
        </a:p>
        <a:p>
          <a:pPr marL="0" lvl="0" indent="0" algn="ctr" defTabSz="355600">
            <a:lnSpc>
              <a:spcPct val="90000"/>
            </a:lnSpc>
            <a:spcBef>
              <a:spcPct val="0"/>
            </a:spcBef>
            <a:spcAft>
              <a:spcPct val="35000"/>
            </a:spcAft>
            <a:buNone/>
          </a:pPr>
          <a:r>
            <a:rPr lang="en-NZ" sz="600" kern="1200">
              <a:solidFill>
                <a:sysClr val="window" lastClr="FFFFFF"/>
              </a:solidFill>
              <a:latin typeface="Arial Narrow" panose="020B0606020202030204" pitchFamily="34" charset="0"/>
              <a:ea typeface="+mn-ea"/>
              <a:cs typeface="+mn-cs"/>
            </a:rPr>
            <a:t>Renewal / upgrade required in future</a:t>
          </a:r>
        </a:p>
      </dsp:txBody>
      <dsp:txXfrm>
        <a:off x="1294658" y="2184982"/>
        <a:ext cx="1302238" cy="726935"/>
      </dsp:txXfrm>
    </dsp:sp>
    <dsp:sp modelId="{2CFCD95C-B844-4BEE-ACD7-C1E95C0CA011}">
      <dsp:nvSpPr>
        <dsp:cNvPr id="0" name=""/>
        <dsp:cNvSpPr/>
      </dsp:nvSpPr>
      <dsp:spPr>
        <a:xfrm>
          <a:off x="786806" y="752397"/>
          <a:ext cx="1421753" cy="833920"/>
        </a:xfrm>
        <a:prstGeom prst="roundRect">
          <a:avLst/>
        </a:prstGeom>
        <a:solidFill>
          <a:srgbClr val="9BBB59">
            <a:hueOff val="11250264"/>
            <a:satOff val="-16880"/>
            <a:lumOff val="-2745"/>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NZ" sz="800" b="1" kern="1200">
              <a:solidFill>
                <a:sysClr val="window" lastClr="FFFFFF"/>
              </a:solidFill>
              <a:latin typeface="Arial Narrow" panose="020B0606020202030204" pitchFamily="34" charset="0"/>
              <a:ea typeface="+mn-ea"/>
              <a:cs typeface="+mn-cs"/>
            </a:rPr>
            <a:t>5. Disposal</a:t>
          </a:r>
          <a:endParaRPr lang="en-NZ" sz="800" kern="1200">
            <a:solidFill>
              <a:sysClr val="window" lastClr="FFFFFF"/>
            </a:solidFill>
            <a:latin typeface="Arial Narrow" panose="020B0606020202030204" pitchFamily="34" charset="0"/>
            <a:ea typeface="+mn-ea"/>
            <a:cs typeface="+mn-cs"/>
          </a:endParaRPr>
        </a:p>
        <a:p>
          <a:pPr marL="0" lvl="0" indent="0" algn="ctr" defTabSz="355600">
            <a:lnSpc>
              <a:spcPct val="90000"/>
            </a:lnSpc>
            <a:spcBef>
              <a:spcPct val="0"/>
            </a:spcBef>
            <a:spcAft>
              <a:spcPct val="35000"/>
            </a:spcAft>
            <a:buNone/>
          </a:pPr>
          <a:r>
            <a:rPr lang="en-NZ" sz="600" kern="1200">
              <a:solidFill>
                <a:sysClr val="window" lastClr="FFFFFF"/>
              </a:solidFill>
              <a:latin typeface="Arial Narrow" panose="020B0606020202030204" pitchFamily="34" charset="0"/>
              <a:ea typeface="+mn-ea"/>
              <a:cs typeface="+mn-cs"/>
            </a:rPr>
            <a:t>Decommissioning cost / equipment / energy</a:t>
          </a:r>
        </a:p>
        <a:p>
          <a:pPr marL="0" lvl="0" indent="0" algn="ctr" defTabSz="355600">
            <a:lnSpc>
              <a:spcPct val="90000"/>
            </a:lnSpc>
            <a:spcBef>
              <a:spcPct val="0"/>
            </a:spcBef>
            <a:spcAft>
              <a:spcPct val="35000"/>
            </a:spcAft>
            <a:buNone/>
          </a:pPr>
          <a:r>
            <a:rPr lang="en-NZ" sz="600" kern="1200">
              <a:solidFill>
                <a:sysClr val="window" lastClr="FFFFFF"/>
              </a:solidFill>
              <a:latin typeface="Arial Narrow" panose="020B0606020202030204" pitchFamily="34" charset="0"/>
              <a:ea typeface="+mn-ea"/>
              <a:cs typeface="+mn-cs"/>
            </a:rPr>
            <a:t>Ability to recycle. </a:t>
          </a:r>
        </a:p>
        <a:p>
          <a:pPr marL="0" lvl="0" indent="0" algn="ctr" defTabSz="355600">
            <a:lnSpc>
              <a:spcPct val="90000"/>
            </a:lnSpc>
            <a:spcBef>
              <a:spcPct val="0"/>
            </a:spcBef>
            <a:spcAft>
              <a:spcPct val="35000"/>
            </a:spcAft>
            <a:buNone/>
          </a:pPr>
          <a:r>
            <a:rPr lang="en-NZ" sz="600" kern="1200">
              <a:solidFill>
                <a:sysClr val="window" lastClr="FFFFFF"/>
              </a:solidFill>
              <a:latin typeface="Arial Narrow" panose="020B0606020202030204" pitchFamily="34" charset="0"/>
              <a:ea typeface="+mn-ea"/>
              <a:cs typeface="+mn-cs"/>
            </a:rPr>
            <a:t>Environmental impacts of left in place</a:t>
          </a:r>
          <a:r>
            <a:rPr lang="en-NZ" sz="600" kern="1200">
              <a:solidFill>
                <a:sysClr val="window" lastClr="FFFFFF"/>
              </a:solidFill>
              <a:latin typeface="Calibri"/>
              <a:ea typeface="+mn-ea"/>
              <a:cs typeface="+mn-cs"/>
            </a:rPr>
            <a:t>.</a:t>
          </a:r>
          <a:r>
            <a:rPr lang="en-NZ" sz="500" kern="1200">
              <a:solidFill>
                <a:sysClr val="window" lastClr="FFFFFF"/>
              </a:solidFill>
              <a:latin typeface="Calibri"/>
              <a:ea typeface="+mn-ea"/>
              <a:cs typeface="+mn-cs"/>
            </a:rPr>
            <a:t> </a:t>
          </a:r>
        </a:p>
      </dsp:txBody>
      <dsp:txXfrm>
        <a:off x="827515" y="793106"/>
        <a:ext cx="1340335" cy="75250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Harrison Grierson">
      <a:dk1>
        <a:sysClr val="windowText" lastClr="000000"/>
      </a:dk1>
      <a:lt1>
        <a:srgbClr val="F2F2EA"/>
      </a:lt1>
      <a:dk2>
        <a:srgbClr val="DC40AD"/>
      </a:dk2>
      <a:lt2>
        <a:srgbClr val="CCE134"/>
      </a:lt2>
      <a:accent1>
        <a:srgbClr val="E0ECA7"/>
      </a:accent1>
      <a:accent2>
        <a:srgbClr val="6D7E20"/>
      </a:accent2>
      <a:accent3>
        <a:srgbClr val="F0B2E0"/>
      </a:accent3>
      <a:accent4>
        <a:srgbClr val="B90C69"/>
      </a:accent4>
      <a:accent5>
        <a:srgbClr val="AD2FB4"/>
      </a:accent5>
      <a:accent6>
        <a:srgbClr val="801099"/>
      </a:accent6>
      <a:hlink>
        <a:srgbClr val="0563C1"/>
      </a:hlink>
      <a:folHlink>
        <a:srgbClr val="954F72"/>
      </a:folHlink>
    </a:clrScheme>
    <a:fontScheme name="Harrison Grierson">
      <a:majorFont>
        <a:latin typeface="Neue Haas Grotesk Text Pro"/>
        <a:ea typeface=""/>
        <a:cs typeface=""/>
      </a:majorFont>
      <a:minorFont>
        <a:latin typeface="Neue Haas Grotesk Tex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56b844-297c-4e6a-87aa-34d0515e8d60">
      <Value>5</Value>
    </TaxCatchAll>
    <i0f84bba906045b4af568ee102a52dcb xmlns="2e56b844-297c-4e6a-87aa-34d0515e8d60">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fe27fdf8-0f5f-4818-8814-5d57df057769</TermId>
        </TermInfo>
      </Terms>
    </i0f84bba906045b4af568ee102a52dcb>
    <_dlc_DocId xmlns="2e56b844-297c-4e6a-87aa-34d0515e8d60">ARAWAI-698578541-94</_dlc_DocId>
    <_dlc_DocIdUrl xmlns="2e56b844-297c-4e6a-87aa-34d0515e8d60">
      <Url>https://taumataarowai.sharepoint.com/sites/DMS_NEDS/_layouts/15/DocIdRedir.aspx?ID=ARAWAI-698578541-94</Url>
      <Description>ARAWAI-698578541-94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ct:contentTypeSchema xmlns:ct="http://schemas.microsoft.com/office/2006/metadata/contentType" xmlns:ma="http://schemas.microsoft.com/office/2006/metadata/properties/metaAttributes" ct:_="" ma:_="" ma:contentTypeName="Document" ma:contentTypeID="0x01010078F2A1AA5C2C1D4980F94048D70C7FFF" ma:contentTypeVersion="6" ma:contentTypeDescription="Create a new document." ma:contentTypeScope="" ma:versionID="94965790e2a05faeecc6bedb5d46469a">
  <xsd:schema xmlns:xsd="http://www.w3.org/2001/XMLSchema" xmlns:xs="http://www.w3.org/2001/XMLSchema" xmlns:p="http://schemas.microsoft.com/office/2006/metadata/properties" xmlns:ns2="2e56b844-297c-4e6a-87aa-34d0515e8d60" xmlns:ns3="a4d3f0f2-754c-40ba-9832-30ac89b0efa3" targetNamespace="http://schemas.microsoft.com/office/2006/metadata/properties" ma:root="true" ma:fieldsID="21803194a98d7bc60938e8e3cd5fcf13" ns2:_="" ns3:_="">
    <xsd:import namespace="2e56b844-297c-4e6a-87aa-34d0515e8d60"/>
    <xsd:import namespace="a4d3f0f2-754c-40ba-9832-30ac89b0efa3"/>
    <xsd:element name="properties">
      <xsd:complexType>
        <xsd:sequence>
          <xsd:element name="documentManagement">
            <xsd:complexType>
              <xsd:all>
                <xsd:element ref="ns2:_dlc_DocId" minOccurs="0"/>
                <xsd:element ref="ns2:_dlc_DocIdUrl" minOccurs="0"/>
                <xsd:element ref="ns2:_dlc_DocIdPersistId" minOccurs="0"/>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6b844-297c-4e6a-87aa-34d0515e8d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12" nillable="true" ma:taxonomy="true" ma:internalName="i0f84bba906045b4af568ee102a52dcb" ma:taxonomyFieldName="RevIMBCS" ma:displayName="Record Classification" ma:indexed="true" ma:default="5;#BCS|fe27fdf8-0f5f-4818-8814-5d57df057769" ma:fieldId="{20f84bba-9060-45b4-af56-8ee102a52dcb}" ma:sspId="bd04e065-e87d-43b4-b1aa-988c790d3800" ma:termSetId="8cd2d7f0-9d76-455f-ae25-96860f5827ca"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3a1701-a8ab-40ee-91b8-c1fd34f7ebe1}" ma:internalName="TaxCatchAll" ma:showField="CatchAllData" ma:web="2e56b844-297c-4e6a-87aa-34d0515e8d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d3f0f2-754c-40ba-9832-30ac89b0efa3"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A20C9-B234-4D59-AA62-7178318C8802}">
  <ds:schemaRefs>
    <ds:schemaRef ds:uri="http://schemas.microsoft.com/sharepoint/v3/contenttype/forms"/>
  </ds:schemaRefs>
</ds:datastoreItem>
</file>

<file path=customXml/itemProps2.xml><?xml version="1.0" encoding="utf-8"?>
<ds:datastoreItem xmlns:ds="http://schemas.openxmlformats.org/officeDocument/2006/customXml" ds:itemID="{6E88C677-8FFA-4D7F-A2CE-F54D9671182B}">
  <ds:schemaRefs>
    <ds:schemaRef ds:uri="http://schemas.microsoft.com/office/2006/metadata/properties"/>
    <ds:schemaRef ds:uri="http://schemas.microsoft.com/office/infopath/2007/PartnerControls"/>
    <ds:schemaRef ds:uri="2e56b844-297c-4e6a-87aa-34d0515e8d60"/>
  </ds:schemaRefs>
</ds:datastoreItem>
</file>

<file path=customXml/itemProps3.xml><?xml version="1.0" encoding="utf-8"?>
<ds:datastoreItem xmlns:ds="http://schemas.openxmlformats.org/officeDocument/2006/customXml" ds:itemID="{09166493-2773-499D-A2CB-155AFEE0917E}">
  <ds:schemaRefs>
    <ds:schemaRef ds:uri="http://schemas.microsoft.com/sharepoint/events"/>
  </ds:schemaRefs>
</ds:datastoreItem>
</file>

<file path=customXml/itemProps4.xml><?xml version="1.0" encoding="utf-8"?>
<ds:datastoreItem xmlns:ds="http://schemas.openxmlformats.org/officeDocument/2006/customXml" ds:itemID="{1C317FFD-21D4-4DBB-B220-413117C530FA}">
  <ds:schemaRefs>
    <ds:schemaRef ds:uri="http://schemas.openxmlformats.org/officeDocument/2006/bibliography"/>
  </ds:schemaRefs>
</ds:datastoreItem>
</file>

<file path=customXml/itemProps5.xml><?xml version="1.0" encoding="utf-8"?>
<ds:datastoreItem xmlns:ds="http://schemas.openxmlformats.org/officeDocument/2006/customXml" ds:itemID="{7D677236-DDC7-477A-BBF2-884945CE75BC}"/>
</file>

<file path=docMetadata/LabelInfo.xml><?xml version="1.0" encoding="utf-8"?>
<clbl:labelList xmlns:clbl="http://schemas.microsoft.com/office/2020/mipLabelMetadata">
  <clbl:label id="{35504caa-b431-4354-826f-a0777a9bdb8d}" enabled="1" method="Standard" siteId="{75c87bf0-6130-4555-b9fa-e4cf3539f058}" removed="0"/>
</clbl:labelList>
</file>

<file path=docProps/app.xml><?xml version="1.0" encoding="utf-8"?>
<Properties xmlns="http://schemas.openxmlformats.org/officeDocument/2006/extended-properties" xmlns:vt="http://schemas.openxmlformats.org/officeDocument/2006/docPropsVTypes">
  <Template>Normal</Template>
  <TotalTime>6</TotalTime>
  <Pages>23</Pages>
  <Words>8658</Words>
  <Characters>48664</Characters>
  <Application>Microsoft Office Word</Application>
  <DocSecurity>0</DocSecurity>
  <Lines>1035</Lines>
  <Paragraphs>666</Paragraphs>
  <ScaleCrop>false</ScaleCrop>
  <HeadingPairs>
    <vt:vector size="2" baseType="variant">
      <vt:variant>
        <vt:lpstr>Title</vt:lpstr>
      </vt:variant>
      <vt:variant>
        <vt:i4>1</vt:i4>
      </vt:variant>
    </vt:vector>
  </HeadingPairs>
  <TitlesOfParts>
    <vt:vector size="1" baseType="lpstr">
      <vt:lpstr/>
    </vt:vector>
  </TitlesOfParts>
  <Company>Harrison Grierson</Company>
  <LinksUpToDate>false</LinksUpToDate>
  <CharactersWithSpaces>56656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Comer</dc:creator>
  <cp:keywords/>
  <dc:description/>
  <cp:lastModifiedBy>Ed Yong</cp:lastModifiedBy>
  <cp:revision>6</cp:revision>
  <dcterms:created xsi:type="dcterms:W3CDTF">2026-06-09T23:45:00Z</dcterms:created>
  <dcterms:modified xsi:type="dcterms:W3CDTF">2026-06-09T23:48:00Z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0x01010078F2A1AA5C2C1D4980F94048D70C7FFF</vt:lpwstr>
  </property>
  <property fmtid="{D5CDD505-2E9C-101B-9397-08002B2CF9AE}" pid="3" name="RevIMBCS">
    <vt:lpwstr>5;#BCS|fe27fdf8-0f5f-4818-8814-5d57df057769</vt:lpwstr>
  </property>
  <property fmtid="{D5CDD505-2E9C-101B-9397-08002B2CF9AE}" pid="4" name="_dlc_DocIdItemGuid">
    <vt:lpwstr>0e6196dc-05b6-4568-89c4-b4df49da28b2</vt:lpwstr>
  </property>
  <property fmtid="{D5CDD505-2E9C-101B-9397-08002B2CF9AE}" pid="5" name="ClassificationContentMarkingHeaderShapeIds">
    <vt:lpwstr>79fb928b,4539352d,1a778c20</vt:lpwstr>
  </property>
  <property fmtid="{D5CDD505-2E9C-101B-9397-08002B2CF9AE}" pid="6" name="ClassificationContentMarkingHeaderFontProps">
    <vt:lpwstr>#000000,10,Aptos</vt:lpwstr>
  </property>
  <property fmtid="{D5CDD505-2E9C-101B-9397-08002B2CF9AE}" pid="7" name="ClassificationContentMarkingHeaderText">
    <vt:lpwstr>In-Confidence</vt:lpwstr>
  </property>
</Properties>
</file>